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4CD5" w14:textId="77777777" w:rsidR="00634088" w:rsidRPr="00CB7B2A" w:rsidRDefault="00634088" w:rsidP="00634088">
      <w:pPr>
        <w:rPr>
          <w:rFonts w:cs="Arial"/>
          <w:b/>
          <w:vertAlign w:val="superscript"/>
        </w:rPr>
      </w:pPr>
      <w:bookmarkStart w:id="0" w:name="_GoBack"/>
      <w:bookmarkEnd w:id="0"/>
    </w:p>
    <w:p w14:paraId="1D3D6FA1" w14:textId="77777777" w:rsidR="00634088" w:rsidRPr="001803FA" w:rsidRDefault="00634088" w:rsidP="00634088">
      <w:pPr>
        <w:rPr>
          <w:rFonts w:cs="Arial"/>
          <w:b/>
        </w:rPr>
      </w:pPr>
    </w:p>
    <w:p w14:paraId="58F03101" w14:textId="0BC80B90" w:rsidR="00634088" w:rsidRPr="002D45EF" w:rsidRDefault="00634088" w:rsidP="00634088">
      <w:pPr>
        <w:rPr>
          <w:rFonts w:cs="Arial"/>
          <w:b/>
        </w:rPr>
      </w:pPr>
      <w:r w:rsidRPr="002D45EF">
        <w:rPr>
          <w:rFonts w:cs="Arial"/>
          <w:b/>
          <w:noProof/>
          <w:lang w:eastAsia="en-US"/>
        </w:rPr>
        <w:drawing>
          <wp:anchor distT="0" distB="0" distL="114300" distR="114300" simplePos="0" relativeHeight="251658240" behindDoc="0" locked="0" layoutInCell="1" allowOverlap="1" wp14:anchorId="6C554260" wp14:editId="0F602EEA">
            <wp:simplePos x="0" y="0"/>
            <wp:positionH relativeFrom="column">
              <wp:posOffset>-242570</wp:posOffset>
            </wp:positionH>
            <wp:positionV relativeFrom="paragraph">
              <wp:posOffset>-387985</wp:posOffset>
            </wp:positionV>
            <wp:extent cx="794385" cy="794385"/>
            <wp:effectExtent l="0" t="0" r="0" b="0"/>
            <wp:wrapThrough wrapText="bothSides">
              <wp:wrapPolygon edited="0">
                <wp:start x="0" y="0"/>
                <wp:lineTo x="0" y="20719"/>
                <wp:lineTo x="20719" y="20719"/>
                <wp:lineTo x="207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solidFill>
                      <a:srgbClr val="000090"/>
                    </a:solidFill>
                  </pic:spPr>
                </pic:pic>
              </a:graphicData>
            </a:graphic>
            <wp14:sizeRelH relativeFrom="page">
              <wp14:pctWidth>0</wp14:pctWidth>
            </wp14:sizeRelH>
            <wp14:sizeRelV relativeFrom="page">
              <wp14:pctHeight>0</wp14:pctHeight>
            </wp14:sizeRelV>
          </wp:anchor>
        </w:drawing>
      </w:r>
    </w:p>
    <w:p w14:paraId="1194D213" w14:textId="77777777" w:rsidR="00634088" w:rsidRPr="002D45EF" w:rsidRDefault="00634088" w:rsidP="00634088">
      <w:pPr>
        <w:rPr>
          <w:rFonts w:cs="Arial"/>
          <w:b/>
        </w:rPr>
      </w:pPr>
    </w:p>
    <w:p w14:paraId="4662ED6F" w14:textId="77777777" w:rsidR="00634088" w:rsidRPr="002D45EF" w:rsidRDefault="00634088" w:rsidP="00634088">
      <w:pPr>
        <w:rPr>
          <w:rFonts w:cs="Arial"/>
          <w:b/>
        </w:rPr>
      </w:pPr>
    </w:p>
    <w:p w14:paraId="42611160" w14:textId="77777777" w:rsidR="00281FB5" w:rsidRPr="002D45EF" w:rsidRDefault="00281FB5" w:rsidP="00634088">
      <w:pPr>
        <w:rPr>
          <w:rFonts w:cs="Arial"/>
          <w:b/>
        </w:rPr>
      </w:pPr>
    </w:p>
    <w:p w14:paraId="4C545D9A" w14:textId="77777777" w:rsidR="00634088" w:rsidRPr="002D45EF" w:rsidRDefault="00634088" w:rsidP="00634088">
      <w:pPr>
        <w:pBdr>
          <w:bottom w:val="single" w:sz="4" w:space="0" w:color="auto"/>
        </w:pBdr>
        <w:ind w:left="-360"/>
        <w:rPr>
          <w:rFonts w:cs="Arial"/>
          <w:sz w:val="28"/>
          <w:szCs w:val="28"/>
        </w:rPr>
      </w:pPr>
      <w:r w:rsidRPr="002D45EF">
        <w:rPr>
          <w:rFonts w:cs="Arial"/>
          <w:sz w:val="28"/>
          <w:szCs w:val="28"/>
        </w:rPr>
        <w:t>Technical Assistance Consultant’s Report</w:t>
      </w:r>
    </w:p>
    <w:p w14:paraId="3068BDD9" w14:textId="77777777" w:rsidR="00634088" w:rsidRPr="002D45EF" w:rsidRDefault="00634088" w:rsidP="00634088">
      <w:pPr>
        <w:rPr>
          <w:rFonts w:cs="Arial"/>
        </w:rPr>
      </w:pPr>
    </w:p>
    <w:p w14:paraId="3D47EDD2" w14:textId="77777777" w:rsidR="00634088" w:rsidRPr="002D45EF" w:rsidRDefault="00634088" w:rsidP="00634088">
      <w:pPr>
        <w:pStyle w:val="ParagraphTextNormal"/>
        <w:widowControl w:val="0"/>
        <w:spacing w:before="0" w:after="0" w:line="240" w:lineRule="auto"/>
        <w:rPr>
          <w:rFonts w:ascii="Arial" w:hAnsi="Arial" w:cs="Arial"/>
          <w:sz w:val="22"/>
          <w:szCs w:val="22"/>
        </w:rPr>
      </w:pPr>
    </w:p>
    <w:p w14:paraId="0B7B6FC7" w14:textId="77777777" w:rsidR="00634088" w:rsidRPr="002D45EF" w:rsidRDefault="00634088" w:rsidP="00634088">
      <w:pPr>
        <w:rPr>
          <w:rFonts w:cs="Arial"/>
        </w:rPr>
      </w:pPr>
    </w:p>
    <w:p w14:paraId="197BDAA5" w14:textId="1AE66439" w:rsidR="00634088" w:rsidRPr="002D45EF" w:rsidRDefault="00634088" w:rsidP="00370F8A">
      <w:pPr>
        <w:spacing w:line="360" w:lineRule="auto"/>
        <w:ind w:left="-360"/>
        <w:rPr>
          <w:rFonts w:cs="Arial"/>
          <w:bCs/>
          <w:sz w:val="24"/>
          <w:szCs w:val="24"/>
        </w:rPr>
      </w:pPr>
      <w:r w:rsidRPr="002D45EF">
        <w:rPr>
          <w:rFonts w:cs="Arial"/>
          <w:bCs/>
          <w:sz w:val="24"/>
          <w:szCs w:val="24"/>
        </w:rPr>
        <w:t xml:space="preserve">Project Number: </w:t>
      </w:r>
      <w:r w:rsidR="003A2E36" w:rsidRPr="002D45EF">
        <w:rPr>
          <w:rFonts w:cs="Arial"/>
          <w:bCs/>
          <w:sz w:val="24"/>
          <w:szCs w:val="24"/>
        </w:rPr>
        <w:t>SC</w:t>
      </w:r>
      <w:r w:rsidR="00931EDE" w:rsidRPr="002D45EF">
        <w:rPr>
          <w:rFonts w:cs="Arial"/>
          <w:bCs/>
          <w:sz w:val="24"/>
          <w:szCs w:val="24"/>
        </w:rPr>
        <w:t>-</w:t>
      </w:r>
      <w:r w:rsidR="003A2E36" w:rsidRPr="002D45EF">
        <w:rPr>
          <w:rFonts w:cs="Arial"/>
          <w:bCs/>
          <w:sz w:val="24"/>
          <w:szCs w:val="24"/>
        </w:rPr>
        <w:t>111018</w:t>
      </w:r>
      <w:r w:rsidR="00662C14" w:rsidRPr="002D45EF">
        <w:rPr>
          <w:rFonts w:cs="Arial"/>
          <w:bCs/>
          <w:sz w:val="24"/>
          <w:szCs w:val="24"/>
        </w:rPr>
        <w:t xml:space="preserve"> </w:t>
      </w:r>
      <w:r w:rsidR="0094354C" w:rsidRPr="002D45EF">
        <w:rPr>
          <w:rFonts w:cs="Arial"/>
          <w:bCs/>
          <w:sz w:val="24"/>
          <w:szCs w:val="24"/>
        </w:rPr>
        <w:t>ARM</w:t>
      </w:r>
    </w:p>
    <w:p w14:paraId="3F7FAC01" w14:textId="5B769B8B" w:rsidR="00634088" w:rsidRPr="002D45EF" w:rsidRDefault="00D246A5" w:rsidP="00370F8A">
      <w:pPr>
        <w:spacing w:line="360" w:lineRule="auto"/>
        <w:ind w:left="-360"/>
        <w:rPr>
          <w:rFonts w:cs="Arial"/>
          <w:bCs/>
          <w:sz w:val="24"/>
          <w:szCs w:val="24"/>
        </w:rPr>
      </w:pPr>
      <w:r w:rsidRPr="002D45EF">
        <w:rPr>
          <w:rFonts w:cs="Arial"/>
          <w:bCs/>
          <w:sz w:val="24"/>
          <w:szCs w:val="24"/>
        </w:rPr>
        <w:t>July</w:t>
      </w:r>
      <w:r w:rsidR="00662C14" w:rsidRPr="002D45EF">
        <w:rPr>
          <w:rFonts w:cs="Arial"/>
          <w:bCs/>
          <w:sz w:val="24"/>
          <w:szCs w:val="24"/>
        </w:rPr>
        <w:t xml:space="preserve"> 201</w:t>
      </w:r>
      <w:r w:rsidR="0094354C" w:rsidRPr="002D45EF">
        <w:rPr>
          <w:rFonts w:cs="Arial"/>
          <w:bCs/>
          <w:sz w:val="24"/>
          <w:szCs w:val="24"/>
        </w:rPr>
        <w:t>8</w:t>
      </w:r>
    </w:p>
    <w:p w14:paraId="1FF687D2" w14:textId="77777777" w:rsidR="00634088" w:rsidRPr="002D45EF" w:rsidRDefault="00634088" w:rsidP="00634088">
      <w:pPr>
        <w:ind w:left="-360" w:firstLine="360"/>
        <w:rPr>
          <w:rFonts w:cs="Arial"/>
          <w:sz w:val="24"/>
          <w:szCs w:val="24"/>
        </w:rPr>
      </w:pPr>
    </w:p>
    <w:p w14:paraId="61AC3E3B" w14:textId="77777777" w:rsidR="00634088" w:rsidRPr="002D45EF" w:rsidRDefault="00634088" w:rsidP="00634088">
      <w:pPr>
        <w:pStyle w:val="Default"/>
        <w:rPr>
          <w:sz w:val="22"/>
          <w:szCs w:val="22"/>
        </w:rPr>
      </w:pPr>
    </w:p>
    <w:p w14:paraId="4FC53484" w14:textId="22CBB079" w:rsidR="00634088" w:rsidRPr="002D45EF" w:rsidRDefault="0025699F" w:rsidP="00634088">
      <w:pPr>
        <w:ind w:left="-360"/>
        <w:rPr>
          <w:rFonts w:cs="Arial"/>
          <w:sz w:val="40"/>
          <w:szCs w:val="40"/>
        </w:rPr>
      </w:pPr>
      <w:r w:rsidRPr="002D45EF">
        <w:rPr>
          <w:rFonts w:cs="Arial"/>
          <w:sz w:val="40"/>
          <w:szCs w:val="40"/>
        </w:rPr>
        <w:t>Armenia</w:t>
      </w:r>
      <w:r w:rsidR="00634088" w:rsidRPr="002D45EF">
        <w:rPr>
          <w:rFonts w:cs="Arial"/>
          <w:sz w:val="40"/>
          <w:szCs w:val="40"/>
        </w:rPr>
        <w:t xml:space="preserve">: </w:t>
      </w:r>
      <w:r w:rsidR="003A2E36" w:rsidRPr="002D45EF">
        <w:rPr>
          <w:rFonts w:cs="Arial"/>
          <w:sz w:val="40"/>
          <w:szCs w:val="40"/>
        </w:rPr>
        <w:t>Liquidity</w:t>
      </w:r>
      <w:r w:rsidR="00662C14" w:rsidRPr="002D45EF">
        <w:rPr>
          <w:rFonts w:cs="Arial"/>
          <w:sz w:val="40"/>
          <w:szCs w:val="40"/>
        </w:rPr>
        <w:t xml:space="preserve"> Management </w:t>
      </w:r>
    </w:p>
    <w:p w14:paraId="5B7C92C1" w14:textId="77777777" w:rsidR="00634088" w:rsidRPr="002D45EF" w:rsidRDefault="00634088" w:rsidP="00634088">
      <w:pPr>
        <w:rPr>
          <w:rFonts w:cs="Arial"/>
        </w:rPr>
      </w:pPr>
    </w:p>
    <w:p w14:paraId="458D41DB" w14:textId="77777777" w:rsidR="00BE6AD9" w:rsidRPr="002D45EF" w:rsidRDefault="00BE6AD9" w:rsidP="00715DD6">
      <w:pPr>
        <w:ind w:left="-360"/>
        <w:rPr>
          <w:rFonts w:cs="Arial"/>
          <w:iCs/>
        </w:rPr>
      </w:pPr>
    </w:p>
    <w:p w14:paraId="69FA1CC0" w14:textId="379060D8" w:rsidR="00634088" w:rsidRPr="002D45EF" w:rsidRDefault="008D26C9" w:rsidP="00715DD6">
      <w:pPr>
        <w:ind w:left="-360"/>
        <w:rPr>
          <w:rFonts w:cs="Arial"/>
          <w:iCs/>
          <w:sz w:val="28"/>
          <w:szCs w:val="28"/>
        </w:rPr>
      </w:pPr>
      <w:r>
        <w:rPr>
          <w:rFonts w:cs="Arial"/>
          <w:iCs/>
          <w:sz w:val="28"/>
          <w:szCs w:val="28"/>
        </w:rPr>
        <w:t>F</w:t>
      </w:r>
      <w:r w:rsidR="00856782">
        <w:rPr>
          <w:rFonts w:cs="Arial"/>
          <w:iCs/>
          <w:sz w:val="28"/>
          <w:szCs w:val="28"/>
        </w:rPr>
        <w:t>inal</w:t>
      </w:r>
      <w:r w:rsidR="00715DD6" w:rsidRPr="002D45EF">
        <w:rPr>
          <w:rFonts w:cs="Arial"/>
          <w:iCs/>
          <w:sz w:val="28"/>
          <w:szCs w:val="28"/>
        </w:rPr>
        <w:t xml:space="preserve"> Report</w:t>
      </w:r>
    </w:p>
    <w:p w14:paraId="3B2DE3CB" w14:textId="77777777" w:rsidR="00634088" w:rsidRPr="002D45EF" w:rsidRDefault="00634088" w:rsidP="00634088">
      <w:pPr>
        <w:rPr>
          <w:rFonts w:cs="Arial"/>
        </w:rPr>
      </w:pPr>
    </w:p>
    <w:p w14:paraId="621CE8F5" w14:textId="77777777" w:rsidR="00715DD6" w:rsidRPr="002D45EF" w:rsidRDefault="00715DD6" w:rsidP="00634088">
      <w:pPr>
        <w:rPr>
          <w:rFonts w:cs="Arial"/>
        </w:rPr>
      </w:pPr>
    </w:p>
    <w:p w14:paraId="0A21E330" w14:textId="77777777" w:rsidR="00715DD6" w:rsidRPr="002D45EF" w:rsidRDefault="00715DD6" w:rsidP="00634088">
      <w:pPr>
        <w:rPr>
          <w:rFonts w:cs="Arial"/>
        </w:rPr>
      </w:pPr>
    </w:p>
    <w:p w14:paraId="17987C1F" w14:textId="77777777" w:rsidR="00634088" w:rsidRPr="002D45EF" w:rsidRDefault="00634088" w:rsidP="00634088">
      <w:pPr>
        <w:rPr>
          <w:rFonts w:cs="Arial"/>
        </w:rPr>
      </w:pPr>
    </w:p>
    <w:p w14:paraId="58ECBE94" w14:textId="6A913B90" w:rsidR="00634088" w:rsidRPr="002D45EF" w:rsidRDefault="00634088" w:rsidP="00370F8A">
      <w:pPr>
        <w:spacing w:line="360" w:lineRule="auto"/>
        <w:ind w:left="-360"/>
        <w:rPr>
          <w:rFonts w:cs="Arial"/>
          <w:bCs/>
          <w:sz w:val="24"/>
          <w:szCs w:val="24"/>
        </w:rPr>
      </w:pPr>
      <w:r w:rsidRPr="002D45EF">
        <w:rPr>
          <w:rFonts w:cs="Arial"/>
          <w:bCs/>
          <w:sz w:val="24"/>
          <w:szCs w:val="24"/>
        </w:rPr>
        <w:t xml:space="preserve">Prepared by: </w:t>
      </w:r>
      <w:r w:rsidR="003A2E36" w:rsidRPr="002D45EF">
        <w:rPr>
          <w:rFonts w:cs="Arial"/>
          <w:bCs/>
          <w:sz w:val="24"/>
          <w:szCs w:val="24"/>
        </w:rPr>
        <w:t>Mike Williams</w:t>
      </w:r>
    </w:p>
    <w:p w14:paraId="29EB5880" w14:textId="63AAE2EB" w:rsidR="00FF373D" w:rsidRPr="002D45EF" w:rsidRDefault="00FF373D" w:rsidP="00370F8A">
      <w:pPr>
        <w:spacing w:line="360" w:lineRule="auto"/>
        <w:ind w:left="-360"/>
        <w:rPr>
          <w:rFonts w:cs="Arial"/>
          <w:bCs/>
          <w:sz w:val="24"/>
          <w:szCs w:val="24"/>
        </w:rPr>
      </w:pPr>
      <w:r w:rsidRPr="002D45EF">
        <w:rPr>
          <w:rFonts w:cs="Arial"/>
          <w:bCs/>
          <w:sz w:val="24"/>
          <w:szCs w:val="24"/>
        </w:rPr>
        <w:t>Date:</w:t>
      </w:r>
      <w:r w:rsidR="00662C14" w:rsidRPr="002D45EF">
        <w:rPr>
          <w:rFonts w:cs="Arial"/>
          <w:bCs/>
          <w:sz w:val="24"/>
          <w:szCs w:val="24"/>
        </w:rPr>
        <w:t xml:space="preserve">   </w:t>
      </w:r>
      <w:r w:rsidR="00856782">
        <w:rPr>
          <w:rFonts w:cs="Arial"/>
          <w:bCs/>
          <w:sz w:val="24"/>
          <w:szCs w:val="24"/>
        </w:rPr>
        <w:t xml:space="preserve">August </w:t>
      </w:r>
      <w:r w:rsidR="00492244">
        <w:rPr>
          <w:rFonts w:cs="Arial"/>
          <w:bCs/>
          <w:sz w:val="24"/>
          <w:szCs w:val="24"/>
        </w:rPr>
        <w:t>26</w:t>
      </w:r>
      <w:r w:rsidR="00301B41" w:rsidRPr="002D45EF">
        <w:rPr>
          <w:rFonts w:cs="Arial"/>
          <w:bCs/>
          <w:sz w:val="24"/>
          <w:szCs w:val="24"/>
        </w:rPr>
        <w:t xml:space="preserve">, </w:t>
      </w:r>
      <w:r w:rsidR="00662C14" w:rsidRPr="002D45EF">
        <w:rPr>
          <w:rFonts w:cs="Arial"/>
          <w:bCs/>
          <w:sz w:val="24"/>
          <w:szCs w:val="24"/>
        </w:rPr>
        <w:t>201</w:t>
      </w:r>
      <w:r w:rsidR="0094354C" w:rsidRPr="002D45EF">
        <w:rPr>
          <w:rFonts w:cs="Arial"/>
          <w:bCs/>
          <w:sz w:val="24"/>
          <w:szCs w:val="24"/>
        </w:rPr>
        <w:t>8</w:t>
      </w:r>
    </w:p>
    <w:p w14:paraId="44AEF480" w14:textId="66A049D2" w:rsidR="00FF373D" w:rsidRPr="002D45EF" w:rsidRDefault="00FF373D" w:rsidP="00370F8A">
      <w:pPr>
        <w:spacing w:line="360" w:lineRule="auto"/>
        <w:ind w:left="-360"/>
        <w:rPr>
          <w:rFonts w:cs="Arial"/>
          <w:bCs/>
          <w:sz w:val="24"/>
          <w:szCs w:val="24"/>
        </w:rPr>
      </w:pPr>
    </w:p>
    <w:p w14:paraId="134EF081" w14:textId="4E0FE821" w:rsidR="00B1117A" w:rsidRPr="002D45EF" w:rsidRDefault="00A9471F" w:rsidP="00370F8A">
      <w:pPr>
        <w:spacing w:line="360" w:lineRule="auto"/>
        <w:ind w:left="-360"/>
        <w:rPr>
          <w:rFonts w:cs="Arial"/>
          <w:bCs/>
          <w:sz w:val="24"/>
          <w:szCs w:val="24"/>
        </w:rPr>
      </w:pPr>
      <w:r w:rsidRPr="002D45EF">
        <w:rPr>
          <w:rFonts w:cs="Arial"/>
          <w:bCs/>
          <w:sz w:val="24"/>
          <w:szCs w:val="24"/>
        </w:rPr>
        <w:t>F</w:t>
      </w:r>
      <w:r w:rsidR="00745A5E" w:rsidRPr="002D45EF">
        <w:rPr>
          <w:rFonts w:cs="Arial"/>
          <w:bCs/>
          <w:sz w:val="24"/>
          <w:szCs w:val="24"/>
        </w:rPr>
        <w:t>or: Asian Development Bank</w:t>
      </w:r>
    </w:p>
    <w:p w14:paraId="7DAD5AE9" w14:textId="77777777" w:rsidR="00634088" w:rsidRPr="002D45EF" w:rsidRDefault="00634088" w:rsidP="00370F8A">
      <w:pPr>
        <w:spacing w:line="360" w:lineRule="auto"/>
        <w:ind w:left="-360"/>
        <w:rPr>
          <w:rFonts w:cs="Arial"/>
          <w:bCs/>
          <w:sz w:val="24"/>
          <w:szCs w:val="24"/>
        </w:rPr>
      </w:pPr>
    </w:p>
    <w:p w14:paraId="43104AA3" w14:textId="77777777" w:rsidR="00832536" w:rsidRPr="002D45EF" w:rsidRDefault="00832536" w:rsidP="00634088">
      <w:pPr>
        <w:rPr>
          <w:rFonts w:cs="Arial"/>
        </w:rPr>
      </w:pPr>
    </w:p>
    <w:p w14:paraId="0B2408D5" w14:textId="77777777" w:rsidR="00634088" w:rsidRPr="002D45EF" w:rsidRDefault="00634088" w:rsidP="00634088">
      <w:pPr>
        <w:rPr>
          <w:rFonts w:cs="Arial"/>
        </w:rPr>
      </w:pPr>
    </w:p>
    <w:p w14:paraId="4D057562" w14:textId="77777777" w:rsidR="00193AC9" w:rsidRPr="002D45EF" w:rsidRDefault="00193AC9" w:rsidP="00634088">
      <w:pPr>
        <w:rPr>
          <w:rFonts w:cs="Arial"/>
        </w:rPr>
      </w:pPr>
    </w:p>
    <w:p w14:paraId="65751C59" w14:textId="77777777" w:rsidR="00193AC9" w:rsidRPr="002D45EF" w:rsidRDefault="00193AC9" w:rsidP="00634088">
      <w:pPr>
        <w:rPr>
          <w:rFonts w:cs="Arial"/>
        </w:rPr>
      </w:pPr>
    </w:p>
    <w:p w14:paraId="58CD63D0" w14:textId="77777777" w:rsidR="00193AC9" w:rsidRPr="002D45EF" w:rsidRDefault="00193AC9" w:rsidP="00634088">
      <w:pPr>
        <w:rPr>
          <w:rFonts w:cs="Arial"/>
        </w:rPr>
      </w:pPr>
    </w:p>
    <w:p w14:paraId="2595EEA7" w14:textId="0C57A8DD" w:rsidR="00193AC9" w:rsidRPr="002D45EF" w:rsidRDefault="00193AC9" w:rsidP="00634088">
      <w:pPr>
        <w:rPr>
          <w:rFonts w:cs="Arial"/>
        </w:rPr>
      </w:pPr>
    </w:p>
    <w:p w14:paraId="19F5E933" w14:textId="0A0004E0" w:rsidR="005C2D03" w:rsidRPr="002D45EF" w:rsidRDefault="005C2D03" w:rsidP="00634088">
      <w:pPr>
        <w:rPr>
          <w:rFonts w:cs="Arial"/>
        </w:rPr>
      </w:pPr>
    </w:p>
    <w:p w14:paraId="3DC7B375" w14:textId="313C5E2E" w:rsidR="005C2D03" w:rsidRPr="002D45EF" w:rsidRDefault="005C2D03" w:rsidP="00634088">
      <w:pPr>
        <w:rPr>
          <w:rFonts w:cs="Arial"/>
        </w:rPr>
      </w:pPr>
    </w:p>
    <w:p w14:paraId="73F5D9E8" w14:textId="39B59942" w:rsidR="005C2D03" w:rsidRPr="002D45EF" w:rsidRDefault="005C2D03" w:rsidP="00634088">
      <w:pPr>
        <w:rPr>
          <w:rFonts w:cs="Arial"/>
        </w:rPr>
      </w:pPr>
    </w:p>
    <w:p w14:paraId="06C55C1C" w14:textId="77777777" w:rsidR="005C2D03" w:rsidRPr="002D45EF" w:rsidRDefault="005C2D03" w:rsidP="00634088">
      <w:pPr>
        <w:rPr>
          <w:rFonts w:cs="Arial"/>
        </w:rPr>
      </w:pPr>
    </w:p>
    <w:p w14:paraId="1DB64DF3" w14:textId="2CE51935" w:rsidR="00143746" w:rsidRPr="002D45EF" w:rsidRDefault="00193AC9" w:rsidP="00FF373D">
      <w:pPr>
        <w:ind w:left="-360"/>
        <w:jc w:val="both"/>
        <w:rPr>
          <w:rFonts w:cs="Arial"/>
          <w:bCs/>
          <w:color w:val="808080" w:themeColor="background1" w:themeShade="80"/>
        </w:rPr>
      </w:pPr>
      <w:r w:rsidRPr="002D45EF">
        <w:rPr>
          <w:rFonts w:cs="Arial"/>
          <w:bCs/>
          <w:noProof/>
          <w:color w:val="808080" w:themeColor="background1" w:themeShade="80"/>
          <w:lang w:eastAsia="en-US"/>
        </w:rPr>
        <w:drawing>
          <wp:anchor distT="0" distB="0" distL="114300" distR="114300" simplePos="0" relativeHeight="251660288" behindDoc="0" locked="0" layoutInCell="1" allowOverlap="1" wp14:anchorId="2E3542E7" wp14:editId="177D614A">
            <wp:simplePos x="0" y="0"/>
            <wp:positionH relativeFrom="column">
              <wp:posOffset>-228600</wp:posOffset>
            </wp:positionH>
            <wp:positionV relativeFrom="paragraph">
              <wp:posOffset>1055370</wp:posOffset>
            </wp:positionV>
            <wp:extent cx="2391410" cy="251460"/>
            <wp:effectExtent l="0" t="0" r="0" b="254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1410" cy="251460"/>
                    </a:xfrm>
                    <a:prstGeom prst="rect">
                      <a:avLst/>
                    </a:prstGeom>
                    <a:noFill/>
                  </pic:spPr>
                </pic:pic>
              </a:graphicData>
            </a:graphic>
            <wp14:sizeRelH relativeFrom="page">
              <wp14:pctWidth>0</wp14:pctWidth>
            </wp14:sizeRelH>
            <wp14:sizeRelV relativeFrom="page">
              <wp14:pctHeight>0</wp14:pctHeight>
            </wp14:sizeRelV>
          </wp:anchor>
        </w:drawing>
      </w:r>
      <w:r w:rsidR="00634088" w:rsidRPr="002D45EF">
        <w:rPr>
          <w:rFonts w:cs="Arial"/>
          <w:bCs/>
          <w:color w:val="808080" w:themeColor="background1" w:themeShade="80"/>
        </w:rPr>
        <w:t>This consultant’s report does not necessarily reflect the views of ADB or the Government concerned, and ADB and the Government cannot be held liable for its contents.  (For project preparatory technical assistance: the views expressed herein may not be incorporated into the proposed project’s design</w:t>
      </w:r>
      <w:r w:rsidR="00492244">
        <w:rPr>
          <w:rFonts w:cs="Arial"/>
          <w:bCs/>
          <w:color w:val="808080" w:themeColor="background1" w:themeShade="80"/>
        </w:rPr>
        <w:t>)</w:t>
      </w:r>
      <w:r w:rsidRPr="002D45EF">
        <w:rPr>
          <w:rFonts w:cs="Arial"/>
          <w:bCs/>
          <w:color w:val="808080" w:themeColor="background1" w:themeShade="80"/>
        </w:rPr>
        <w:t>.</w:t>
      </w:r>
    </w:p>
    <w:p w14:paraId="36297A36" w14:textId="77777777" w:rsidR="00BB7E11" w:rsidRPr="002D45EF" w:rsidRDefault="00BB7E11" w:rsidP="00634088">
      <w:pPr>
        <w:jc w:val="center"/>
        <w:rPr>
          <w:rFonts w:cs="Arial"/>
          <w:b/>
          <w:color w:val="808080" w:themeColor="background1" w:themeShade="80"/>
        </w:rPr>
      </w:pPr>
    </w:p>
    <w:p w14:paraId="2FA11511" w14:textId="77777777" w:rsidR="00280B9B" w:rsidRPr="002D45EF" w:rsidRDefault="00280B9B" w:rsidP="00EF44B9">
      <w:pPr>
        <w:rPr>
          <w:rFonts w:cs="Arial"/>
          <w:b/>
        </w:rPr>
        <w:sectPr w:rsidR="00280B9B" w:rsidRPr="002D45EF" w:rsidSect="00D84E07">
          <w:headerReference w:type="even" r:id="rId10"/>
          <w:headerReference w:type="default" r:id="rId11"/>
          <w:footerReference w:type="even" r:id="rId12"/>
          <w:footerReference w:type="default" r:id="rId13"/>
          <w:pgSz w:w="12240" w:h="15840"/>
          <w:pgMar w:top="1440" w:right="1440" w:bottom="1440" w:left="1440" w:header="720" w:footer="720" w:gutter="0"/>
          <w:pgNumType w:fmt="lowerRoman" w:start="1"/>
          <w:cols w:space="720"/>
          <w:titlePg/>
          <w:docGrid w:linePitch="360"/>
        </w:sectPr>
      </w:pPr>
    </w:p>
    <w:p w14:paraId="77F4886B" w14:textId="0BD6199B" w:rsidR="00147507" w:rsidRPr="002D45EF" w:rsidRDefault="00715DD6" w:rsidP="008E1ACA">
      <w:pPr>
        <w:jc w:val="center"/>
        <w:rPr>
          <w:rFonts w:cs="Arial"/>
          <w:b/>
        </w:rPr>
      </w:pPr>
      <w:r w:rsidRPr="002D45EF">
        <w:rPr>
          <w:rFonts w:cs="Arial"/>
          <w:b/>
        </w:rPr>
        <w:lastRenderedPageBreak/>
        <w:t>CURRENCY EQUIVALENTS</w:t>
      </w:r>
    </w:p>
    <w:p w14:paraId="3888E89B" w14:textId="37694AAE" w:rsidR="00634088" w:rsidRPr="002D45EF" w:rsidRDefault="00BB7E11" w:rsidP="00634088">
      <w:pPr>
        <w:jc w:val="center"/>
        <w:rPr>
          <w:rFonts w:cs="Arial"/>
        </w:rPr>
      </w:pPr>
      <w:r w:rsidRPr="002D45EF">
        <w:rPr>
          <w:rFonts w:cs="Arial"/>
        </w:rPr>
        <w:t xml:space="preserve">(as of </w:t>
      </w:r>
      <w:r w:rsidR="00D40A42">
        <w:rPr>
          <w:rFonts w:cs="Arial"/>
        </w:rPr>
        <w:t>24 August</w:t>
      </w:r>
      <w:r w:rsidR="00D67F54" w:rsidRPr="002D45EF">
        <w:rPr>
          <w:rFonts w:cs="Arial"/>
        </w:rPr>
        <w:t xml:space="preserve"> </w:t>
      </w:r>
      <w:r w:rsidR="00662C14" w:rsidRPr="002D45EF">
        <w:rPr>
          <w:rFonts w:cs="Arial"/>
        </w:rPr>
        <w:t>201</w:t>
      </w:r>
      <w:r w:rsidR="00D67F54" w:rsidRPr="002D45EF">
        <w:rPr>
          <w:rFonts w:cs="Arial"/>
        </w:rPr>
        <w:t>8</w:t>
      </w:r>
      <w:r w:rsidR="00634088" w:rsidRPr="002D45EF">
        <w:rPr>
          <w:rFonts w:cs="Arial"/>
        </w:rPr>
        <w:t>)</w:t>
      </w:r>
    </w:p>
    <w:p w14:paraId="4E145B65" w14:textId="77777777" w:rsidR="008E1ACA" w:rsidRPr="002D45EF" w:rsidRDefault="008E1ACA" w:rsidP="00634088">
      <w:pPr>
        <w:jc w:val="center"/>
        <w:rPr>
          <w:rFonts w:cs="Arial"/>
        </w:rPr>
      </w:pPr>
    </w:p>
    <w:p w14:paraId="7750484A" w14:textId="582B66CA" w:rsidR="00634088" w:rsidRPr="002D45EF" w:rsidRDefault="00603912" w:rsidP="002617E6">
      <w:pPr>
        <w:jc w:val="center"/>
        <w:rPr>
          <w:rFonts w:cs="Arial"/>
        </w:rPr>
      </w:pPr>
      <w:r w:rsidRPr="002D45EF">
        <w:rPr>
          <w:rFonts w:cs="Arial"/>
        </w:rPr>
        <w:t>Currency Unit</w:t>
      </w:r>
      <w:r w:rsidR="006D7EF2" w:rsidRPr="002D45EF">
        <w:rPr>
          <w:rFonts w:cs="Arial"/>
        </w:rPr>
        <w:t>:</w:t>
      </w:r>
      <w:r w:rsidRPr="002D45EF">
        <w:rPr>
          <w:rFonts w:cs="Arial"/>
        </w:rPr>
        <w:t xml:space="preserve"> </w:t>
      </w:r>
      <w:r w:rsidR="009254B9" w:rsidRPr="002D45EF">
        <w:rPr>
          <w:rFonts w:cs="Arial"/>
        </w:rPr>
        <w:t>Dram (AMD)</w:t>
      </w:r>
    </w:p>
    <w:p w14:paraId="5DF231BF" w14:textId="7714B7B9" w:rsidR="00634088" w:rsidRPr="002D45EF" w:rsidRDefault="009254B9" w:rsidP="002617E6">
      <w:pPr>
        <w:jc w:val="center"/>
        <w:rPr>
          <w:rFonts w:cs="Arial"/>
        </w:rPr>
      </w:pPr>
      <w:r w:rsidRPr="002D45EF">
        <w:rPr>
          <w:rFonts w:cs="Arial"/>
        </w:rPr>
        <w:t>AMD</w:t>
      </w:r>
      <w:r w:rsidR="002617E6" w:rsidRPr="002D45EF">
        <w:rPr>
          <w:rFonts w:cs="Arial"/>
        </w:rPr>
        <w:t xml:space="preserve"> </w:t>
      </w:r>
      <w:r w:rsidR="0062256A" w:rsidRPr="002D45EF">
        <w:rPr>
          <w:rFonts w:cs="Arial"/>
        </w:rPr>
        <w:t xml:space="preserve">1.00  </w:t>
      </w:r>
      <w:r w:rsidR="00634088" w:rsidRPr="002D45EF">
        <w:rPr>
          <w:rFonts w:cs="Arial"/>
        </w:rPr>
        <w:t xml:space="preserve"> =</w:t>
      </w:r>
      <w:r w:rsidR="0062256A" w:rsidRPr="002D45EF">
        <w:rPr>
          <w:rFonts w:cs="Arial"/>
        </w:rPr>
        <w:t xml:space="preserve"> </w:t>
      </w:r>
      <w:r w:rsidR="00BF755D" w:rsidRPr="002D45EF">
        <w:rPr>
          <w:rFonts w:cs="Arial"/>
        </w:rPr>
        <w:t xml:space="preserve">  </w:t>
      </w:r>
      <w:r w:rsidR="002617E6" w:rsidRPr="002D45EF">
        <w:rPr>
          <w:rFonts w:cs="Arial"/>
        </w:rPr>
        <w:t>USD</w:t>
      </w:r>
      <w:r w:rsidR="00BF755D" w:rsidRPr="002D45EF">
        <w:rPr>
          <w:rFonts w:cs="Arial"/>
        </w:rPr>
        <w:t xml:space="preserve"> 0.00</w:t>
      </w:r>
      <w:r w:rsidR="0025699F" w:rsidRPr="002D45EF">
        <w:rPr>
          <w:rFonts w:cs="Arial"/>
        </w:rPr>
        <w:t>2</w:t>
      </w:r>
    </w:p>
    <w:p w14:paraId="2F6B57C3" w14:textId="74331E2D" w:rsidR="00634088" w:rsidRPr="002D45EF" w:rsidRDefault="002617E6" w:rsidP="002617E6">
      <w:pPr>
        <w:jc w:val="center"/>
        <w:rPr>
          <w:rFonts w:cs="Arial"/>
        </w:rPr>
      </w:pPr>
      <w:r w:rsidRPr="002D45EF">
        <w:rPr>
          <w:rFonts w:cs="Arial"/>
        </w:rPr>
        <w:t xml:space="preserve">USD </w:t>
      </w:r>
      <w:r w:rsidR="00525E54" w:rsidRPr="002D45EF">
        <w:rPr>
          <w:rFonts w:cs="Arial"/>
        </w:rPr>
        <w:t xml:space="preserve">1.00   </w:t>
      </w:r>
      <w:r w:rsidR="00603912" w:rsidRPr="002D45EF">
        <w:rPr>
          <w:rFonts w:cs="Arial"/>
        </w:rPr>
        <w:t xml:space="preserve"> =  </w:t>
      </w:r>
      <w:r w:rsidR="004C05F8" w:rsidRPr="002D45EF">
        <w:rPr>
          <w:rFonts w:cs="Arial"/>
        </w:rPr>
        <w:t xml:space="preserve"> </w:t>
      </w:r>
      <w:r w:rsidRPr="002D45EF">
        <w:rPr>
          <w:rFonts w:cs="Arial"/>
        </w:rPr>
        <w:t xml:space="preserve">AMD </w:t>
      </w:r>
      <w:r w:rsidR="00B15116">
        <w:rPr>
          <w:rFonts w:cs="Arial"/>
        </w:rPr>
        <w:t>482</w:t>
      </w:r>
      <w:r w:rsidR="00BF755D" w:rsidRPr="002D45EF">
        <w:rPr>
          <w:rFonts w:cs="Arial"/>
        </w:rPr>
        <w:t>.</w:t>
      </w:r>
      <w:r w:rsidR="00D67F54" w:rsidRPr="002D45EF">
        <w:rPr>
          <w:rFonts w:cs="Arial"/>
        </w:rPr>
        <w:t>9</w:t>
      </w:r>
    </w:p>
    <w:p w14:paraId="178F4DFD" w14:textId="77777777" w:rsidR="00634088" w:rsidRPr="002D45EF" w:rsidRDefault="00634088" w:rsidP="00634088">
      <w:pPr>
        <w:jc w:val="center"/>
        <w:rPr>
          <w:rFonts w:cs="Arial"/>
        </w:rPr>
      </w:pPr>
    </w:p>
    <w:p w14:paraId="35BA3FBB" w14:textId="77777777" w:rsidR="00B72B39" w:rsidRPr="002D45EF" w:rsidRDefault="00B72B39">
      <w:pPr>
        <w:rPr>
          <w:rFonts w:cs="Arial"/>
          <w:b/>
        </w:rPr>
      </w:pPr>
    </w:p>
    <w:p w14:paraId="62D68AEB" w14:textId="77777777" w:rsidR="0063643A" w:rsidRPr="002D45EF" w:rsidRDefault="0063643A">
      <w:pPr>
        <w:rPr>
          <w:rFonts w:cs="Arial"/>
          <w:b/>
        </w:rPr>
      </w:pPr>
    </w:p>
    <w:p w14:paraId="1005785F" w14:textId="46E5149C" w:rsidR="00B72B39" w:rsidRPr="002D45EF" w:rsidRDefault="00715DD6" w:rsidP="00634088">
      <w:pPr>
        <w:jc w:val="center"/>
        <w:rPr>
          <w:rFonts w:cs="Arial"/>
          <w:b/>
          <w:sz w:val="24"/>
          <w:szCs w:val="24"/>
        </w:rPr>
      </w:pPr>
      <w:r w:rsidRPr="002D45EF">
        <w:rPr>
          <w:rFonts w:cs="Arial"/>
          <w:b/>
          <w:sz w:val="24"/>
          <w:szCs w:val="24"/>
        </w:rPr>
        <w:t>ABBREVIATIONS</w:t>
      </w:r>
    </w:p>
    <w:p w14:paraId="0A595D72" w14:textId="77777777" w:rsidR="00B72B39" w:rsidRPr="002D45EF" w:rsidRDefault="00B72B39" w:rsidP="00B72B39">
      <w:pPr>
        <w:rPr>
          <w:rFonts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67"/>
        <w:gridCol w:w="5942"/>
      </w:tblGrid>
      <w:tr w:rsidR="00ED293E" w:rsidRPr="002D45EF" w14:paraId="549C5B61" w14:textId="77777777" w:rsidTr="001C1E53">
        <w:trPr>
          <w:jc w:val="center"/>
        </w:trPr>
        <w:tc>
          <w:tcPr>
            <w:tcW w:w="1207" w:type="dxa"/>
          </w:tcPr>
          <w:p w14:paraId="054397BE" w14:textId="5E95A456" w:rsidR="00ED293E" w:rsidRPr="002D45EF" w:rsidRDefault="00ED293E" w:rsidP="00D67F54">
            <w:pPr>
              <w:spacing w:line="264" w:lineRule="auto"/>
              <w:rPr>
                <w:rFonts w:cs="Arial"/>
                <w:b/>
              </w:rPr>
            </w:pPr>
            <w:r w:rsidRPr="002D45EF">
              <w:rPr>
                <w:rFonts w:cs="Arial"/>
              </w:rPr>
              <w:t>ADB</w:t>
            </w:r>
          </w:p>
        </w:tc>
        <w:tc>
          <w:tcPr>
            <w:tcW w:w="1167" w:type="dxa"/>
          </w:tcPr>
          <w:p w14:paraId="0D2115E4" w14:textId="6DA62691" w:rsidR="00ED293E" w:rsidRPr="002D45EF" w:rsidRDefault="00ED293E" w:rsidP="00D67F54">
            <w:pPr>
              <w:spacing w:line="264" w:lineRule="auto"/>
              <w:jc w:val="center"/>
              <w:rPr>
                <w:rFonts w:cs="Arial"/>
                <w:b/>
              </w:rPr>
            </w:pPr>
          </w:p>
        </w:tc>
        <w:tc>
          <w:tcPr>
            <w:tcW w:w="5942" w:type="dxa"/>
          </w:tcPr>
          <w:p w14:paraId="49517257" w14:textId="60BE7B05" w:rsidR="00ED293E" w:rsidRPr="002D45EF" w:rsidRDefault="00ED293E" w:rsidP="00D67F54">
            <w:pPr>
              <w:spacing w:line="264" w:lineRule="auto"/>
              <w:rPr>
                <w:rFonts w:cs="Arial"/>
                <w:b/>
              </w:rPr>
            </w:pPr>
            <w:r w:rsidRPr="002D45EF">
              <w:rPr>
                <w:rFonts w:cs="Arial"/>
              </w:rPr>
              <w:t>Asian Development Bank</w:t>
            </w:r>
          </w:p>
        </w:tc>
      </w:tr>
      <w:tr w:rsidR="001F6343" w:rsidRPr="002D45EF" w14:paraId="5E974D0A" w14:textId="77777777" w:rsidTr="001C1E53">
        <w:trPr>
          <w:jc w:val="center"/>
        </w:trPr>
        <w:tc>
          <w:tcPr>
            <w:tcW w:w="1207" w:type="dxa"/>
          </w:tcPr>
          <w:p w14:paraId="4418F35E" w14:textId="1E447051" w:rsidR="001F6343" w:rsidRPr="002D45EF" w:rsidRDefault="001F6343" w:rsidP="00D67F54">
            <w:pPr>
              <w:spacing w:line="264" w:lineRule="auto"/>
              <w:rPr>
                <w:rFonts w:cs="Arial"/>
              </w:rPr>
            </w:pPr>
            <w:r>
              <w:rPr>
                <w:rFonts w:cs="Arial"/>
              </w:rPr>
              <w:t>BPMD</w:t>
            </w:r>
          </w:p>
        </w:tc>
        <w:tc>
          <w:tcPr>
            <w:tcW w:w="1167" w:type="dxa"/>
          </w:tcPr>
          <w:p w14:paraId="0C3D278E" w14:textId="77777777" w:rsidR="001F6343" w:rsidRPr="002D45EF" w:rsidRDefault="001F6343" w:rsidP="00D67F54">
            <w:pPr>
              <w:spacing w:line="264" w:lineRule="auto"/>
              <w:jc w:val="center"/>
              <w:rPr>
                <w:rFonts w:cs="Arial"/>
                <w:b/>
              </w:rPr>
            </w:pPr>
          </w:p>
        </w:tc>
        <w:tc>
          <w:tcPr>
            <w:tcW w:w="5942" w:type="dxa"/>
          </w:tcPr>
          <w:p w14:paraId="2123343A" w14:textId="791E880E" w:rsidR="001F6343" w:rsidRPr="002D45EF" w:rsidRDefault="001F6343" w:rsidP="00D67F54">
            <w:pPr>
              <w:spacing w:line="264" w:lineRule="auto"/>
              <w:rPr>
                <w:rFonts w:cs="Arial"/>
              </w:rPr>
            </w:pPr>
            <w:r w:rsidRPr="001F6343">
              <w:rPr>
                <w:rFonts w:cs="Arial"/>
              </w:rPr>
              <w:t>Budget Process Management Department</w:t>
            </w:r>
          </w:p>
        </w:tc>
      </w:tr>
      <w:tr w:rsidR="006D7EF2" w:rsidRPr="002D45EF" w14:paraId="63192156" w14:textId="77777777" w:rsidTr="001C1E53">
        <w:trPr>
          <w:jc w:val="center"/>
        </w:trPr>
        <w:tc>
          <w:tcPr>
            <w:tcW w:w="1207" w:type="dxa"/>
          </w:tcPr>
          <w:p w14:paraId="01312C2C" w14:textId="49D3494A" w:rsidR="006D7EF2" w:rsidRPr="002D45EF" w:rsidRDefault="00C5715A" w:rsidP="00D67F54">
            <w:pPr>
              <w:spacing w:line="264" w:lineRule="auto"/>
              <w:rPr>
                <w:rFonts w:cs="Arial"/>
              </w:rPr>
            </w:pPr>
            <w:r w:rsidRPr="002D45EF">
              <w:rPr>
                <w:rFonts w:cs="Arial"/>
              </w:rPr>
              <w:t>B</w:t>
            </w:r>
            <w:r w:rsidR="006D7EF2" w:rsidRPr="002D45EF">
              <w:rPr>
                <w:rFonts w:cs="Arial"/>
              </w:rPr>
              <w:t>ps</w:t>
            </w:r>
          </w:p>
        </w:tc>
        <w:tc>
          <w:tcPr>
            <w:tcW w:w="1167" w:type="dxa"/>
          </w:tcPr>
          <w:p w14:paraId="56783448" w14:textId="77777777" w:rsidR="006D7EF2" w:rsidRPr="002D45EF" w:rsidRDefault="006D7EF2" w:rsidP="00D67F54">
            <w:pPr>
              <w:spacing w:line="264" w:lineRule="auto"/>
              <w:jc w:val="center"/>
              <w:rPr>
                <w:rFonts w:cs="Arial"/>
              </w:rPr>
            </w:pPr>
          </w:p>
        </w:tc>
        <w:tc>
          <w:tcPr>
            <w:tcW w:w="5942" w:type="dxa"/>
          </w:tcPr>
          <w:p w14:paraId="5C7A83A4" w14:textId="205E70F0" w:rsidR="006D7EF2" w:rsidRPr="002D45EF" w:rsidRDefault="006D7EF2" w:rsidP="00D67F54">
            <w:pPr>
              <w:spacing w:line="264" w:lineRule="auto"/>
              <w:rPr>
                <w:rFonts w:cs="Arial"/>
              </w:rPr>
            </w:pPr>
            <w:r w:rsidRPr="002D45EF">
              <w:rPr>
                <w:rFonts w:cs="Arial"/>
              </w:rPr>
              <w:t>Basis points</w:t>
            </w:r>
          </w:p>
        </w:tc>
      </w:tr>
      <w:tr w:rsidR="00BF755D" w:rsidRPr="002D45EF" w14:paraId="7907286A" w14:textId="77777777" w:rsidTr="001C1E53">
        <w:trPr>
          <w:jc w:val="center"/>
        </w:trPr>
        <w:tc>
          <w:tcPr>
            <w:tcW w:w="1207" w:type="dxa"/>
          </w:tcPr>
          <w:p w14:paraId="0A52C68E" w14:textId="3F498ED1" w:rsidR="00BF755D" w:rsidRPr="002D45EF" w:rsidRDefault="00BF755D" w:rsidP="00D67F54">
            <w:pPr>
              <w:spacing w:line="264" w:lineRule="auto"/>
              <w:rPr>
                <w:rFonts w:cs="Arial"/>
              </w:rPr>
            </w:pPr>
            <w:r w:rsidRPr="002D45EF">
              <w:rPr>
                <w:rFonts w:cs="Arial"/>
              </w:rPr>
              <w:t>CB</w:t>
            </w:r>
            <w:r w:rsidR="002973B7" w:rsidRPr="002D45EF">
              <w:rPr>
                <w:rFonts w:cs="Arial"/>
              </w:rPr>
              <w:t>A</w:t>
            </w:r>
          </w:p>
        </w:tc>
        <w:tc>
          <w:tcPr>
            <w:tcW w:w="1167" w:type="dxa"/>
          </w:tcPr>
          <w:p w14:paraId="2497E398" w14:textId="1A2284FC" w:rsidR="00BF755D" w:rsidRPr="002D45EF" w:rsidRDefault="00BF755D" w:rsidP="00D67F54">
            <w:pPr>
              <w:spacing w:line="264" w:lineRule="auto"/>
              <w:jc w:val="center"/>
              <w:rPr>
                <w:rFonts w:cs="Arial"/>
              </w:rPr>
            </w:pPr>
          </w:p>
        </w:tc>
        <w:tc>
          <w:tcPr>
            <w:tcW w:w="5942" w:type="dxa"/>
          </w:tcPr>
          <w:p w14:paraId="720305EC" w14:textId="6FC2A034" w:rsidR="00BF755D" w:rsidRPr="002D45EF" w:rsidRDefault="00BF755D" w:rsidP="00D67F54">
            <w:pPr>
              <w:spacing w:line="264" w:lineRule="auto"/>
              <w:rPr>
                <w:rFonts w:cs="Arial"/>
              </w:rPr>
            </w:pPr>
            <w:r w:rsidRPr="002D45EF">
              <w:rPr>
                <w:rFonts w:cs="Arial"/>
              </w:rPr>
              <w:t xml:space="preserve">Central Bank of </w:t>
            </w:r>
            <w:r w:rsidR="002973B7" w:rsidRPr="002D45EF">
              <w:rPr>
                <w:rFonts w:cs="Arial"/>
              </w:rPr>
              <w:t>Armenia</w:t>
            </w:r>
          </w:p>
        </w:tc>
      </w:tr>
      <w:tr w:rsidR="00D37AE7" w:rsidRPr="002D45EF" w14:paraId="4D6FAF00" w14:textId="77777777" w:rsidTr="001C1E53">
        <w:trPr>
          <w:jc w:val="center"/>
        </w:trPr>
        <w:tc>
          <w:tcPr>
            <w:tcW w:w="1207" w:type="dxa"/>
          </w:tcPr>
          <w:p w14:paraId="51186162" w14:textId="30FEE7AD" w:rsidR="00D37AE7" w:rsidRPr="002D45EF" w:rsidRDefault="00D37AE7" w:rsidP="00D67F54">
            <w:pPr>
              <w:spacing w:line="264" w:lineRule="auto"/>
              <w:rPr>
                <w:rFonts w:cs="Arial"/>
              </w:rPr>
            </w:pPr>
            <w:r w:rsidRPr="002D45EF">
              <w:rPr>
                <w:rFonts w:cs="Arial"/>
              </w:rPr>
              <w:t>CCC</w:t>
            </w:r>
          </w:p>
        </w:tc>
        <w:tc>
          <w:tcPr>
            <w:tcW w:w="1167" w:type="dxa"/>
          </w:tcPr>
          <w:p w14:paraId="2F5CC4CB" w14:textId="77777777" w:rsidR="00D37AE7" w:rsidRPr="002D45EF" w:rsidRDefault="00D37AE7" w:rsidP="00D67F54">
            <w:pPr>
              <w:spacing w:line="264" w:lineRule="auto"/>
              <w:jc w:val="center"/>
              <w:rPr>
                <w:rFonts w:cs="Arial"/>
              </w:rPr>
            </w:pPr>
          </w:p>
        </w:tc>
        <w:tc>
          <w:tcPr>
            <w:tcW w:w="5942" w:type="dxa"/>
          </w:tcPr>
          <w:p w14:paraId="14F67192" w14:textId="5BA6F0AB" w:rsidR="00D37AE7" w:rsidRPr="002D45EF" w:rsidRDefault="00D37AE7" w:rsidP="00D67F54">
            <w:pPr>
              <w:spacing w:line="264" w:lineRule="auto"/>
              <w:rPr>
                <w:rFonts w:cs="Arial"/>
              </w:rPr>
            </w:pPr>
            <w:r w:rsidRPr="002D45EF">
              <w:rPr>
                <w:rFonts w:cs="Arial"/>
              </w:rPr>
              <w:t>Cash Coordinating Committee</w:t>
            </w:r>
          </w:p>
        </w:tc>
      </w:tr>
      <w:tr w:rsidR="00DB20DE" w:rsidRPr="002D45EF" w14:paraId="5D19A0B3" w14:textId="77777777" w:rsidTr="001C1E53">
        <w:trPr>
          <w:jc w:val="center"/>
        </w:trPr>
        <w:tc>
          <w:tcPr>
            <w:tcW w:w="1207" w:type="dxa"/>
          </w:tcPr>
          <w:p w14:paraId="0310EB35" w14:textId="0CF3539C" w:rsidR="00DB20DE" w:rsidRPr="002D45EF" w:rsidRDefault="00377836" w:rsidP="00D67F54">
            <w:pPr>
              <w:spacing w:line="264" w:lineRule="auto"/>
              <w:rPr>
                <w:rFonts w:cs="Arial"/>
              </w:rPr>
            </w:pPr>
            <w:r w:rsidRPr="002D45EF">
              <w:rPr>
                <w:rFonts w:cs="Arial"/>
              </w:rPr>
              <w:t>EBF</w:t>
            </w:r>
          </w:p>
        </w:tc>
        <w:tc>
          <w:tcPr>
            <w:tcW w:w="1167" w:type="dxa"/>
          </w:tcPr>
          <w:p w14:paraId="3B1C03BB" w14:textId="125A781B" w:rsidR="00DB20DE" w:rsidRPr="002D45EF" w:rsidRDefault="00DB20DE" w:rsidP="00D67F54">
            <w:pPr>
              <w:spacing w:line="264" w:lineRule="auto"/>
              <w:jc w:val="center"/>
              <w:rPr>
                <w:rFonts w:cs="Arial"/>
              </w:rPr>
            </w:pPr>
          </w:p>
        </w:tc>
        <w:tc>
          <w:tcPr>
            <w:tcW w:w="5942" w:type="dxa"/>
          </w:tcPr>
          <w:p w14:paraId="3CC7EE9C" w14:textId="40E9411B" w:rsidR="00DB20DE" w:rsidRPr="002D45EF" w:rsidRDefault="00711741" w:rsidP="00D67F54">
            <w:pPr>
              <w:spacing w:line="264" w:lineRule="auto"/>
              <w:rPr>
                <w:rFonts w:cs="Arial"/>
              </w:rPr>
            </w:pPr>
            <w:r w:rsidRPr="002D45EF">
              <w:rPr>
                <w:rFonts w:cs="Arial"/>
              </w:rPr>
              <w:t>Extra-Budgetary Fund</w:t>
            </w:r>
          </w:p>
        </w:tc>
      </w:tr>
      <w:tr w:rsidR="002A59E9" w:rsidRPr="002D45EF" w14:paraId="1BA5BE91" w14:textId="77777777" w:rsidTr="001C1E53">
        <w:trPr>
          <w:jc w:val="center"/>
        </w:trPr>
        <w:tc>
          <w:tcPr>
            <w:tcW w:w="1207" w:type="dxa"/>
          </w:tcPr>
          <w:p w14:paraId="4BC4F23A" w14:textId="2EB80556" w:rsidR="002A59E9" w:rsidRPr="002D45EF" w:rsidRDefault="002A59E9" w:rsidP="00D67F54">
            <w:pPr>
              <w:spacing w:line="264" w:lineRule="auto"/>
              <w:rPr>
                <w:rFonts w:cs="Arial"/>
              </w:rPr>
            </w:pPr>
            <w:r>
              <w:rPr>
                <w:rFonts w:cs="Arial"/>
              </w:rPr>
              <w:t>EFD</w:t>
            </w:r>
          </w:p>
        </w:tc>
        <w:tc>
          <w:tcPr>
            <w:tcW w:w="1167" w:type="dxa"/>
          </w:tcPr>
          <w:p w14:paraId="5D8D73B6" w14:textId="77777777" w:rsidR="002A59E9" w:rsidRPr="002D45EF" w:rsidRDefault="002A59E9" w:rsidP="00D67F54">
            <w:pPr>
              <w:spacing w:line="264" w:lineRule="auto"/>
              <w:jc w:val="center"/>
              <w:rPr>
                <w:rFonts w:cs="Arial"/>
                <w:b/>
              </w:rPr>
            </w:pPr>
          </w:p>
        </w:tc>
        <w:tc>
          <w:tcPr>
            <w:tcW w:w="5942" w:type="dxa"/>
          </w:tcPr>
          <w:p w14:paraId="169CE263" w14:textId="79569365" w:rsidR="002A59E9" w:rsidRPr="002D45EF" w:rsidRDefault="002A59E9" w:rsidP="00D67F54">
            <w:pPr>
              <w:spacing w:line="264" w:lineRule="auto"/>
              <w:rPr>
                <w:rFonts w:cs="Arial"/>
              </w:rPr>
            </w:pPr>
            <w:r w:rsidRPr="002A59E9">
              <w:rPr>
                <w:rFonts w:cs="Arial"/>
              </w:rPr>
              <w:t>Expenditures Financing Department</w:t>
            </w:r>
          </w:p>
        </w:tc>
      </w:tr>
      <w:tr w:rsidR="00691E19" w:rsidRPr="002D45EF" w14:paraId="72C0CEB6" w14:textId="77777777" w:rsidTr="001C1E53">
        <w:trPr>
          <w:jc w:val="center"/>
        </w:trPr>
        <w:tc>
          <w:tcPr>
            <w:tcW w:w="1207" w:type="dxa"/>
          </w:tcPr>
          <w:p w14:paraId="5896C2F1" w14:textId="451CA111" w:rsidR="00691E19" w:rsidRPr="002D45EF" w:rsidRDefault="00691E19" w:rsidP="00D67F54">
            <w:pPr>
              <w:spacing w:line="264" w:lineRule="auto"/>
              <w:rPr>
                <w:rFonts w:cs="Arial"/>
              </w:rPr>
            </w:pPr>
            <w:bookmarkStart w:id="1" w:name="_Hlk519761146"/>
            <w:r w:rsidRPr="002D45EF">
              <w:rPr>
                <w:rFonts w:cs="Arial"/>
              </w:rPr>
              <w:t>EPFPD</w:t>
            </w:r>
            <w:bookmarkEnd w:id="1"/>
          </w:p>
        </w:tc>
        <w:tc>
          <w:tcPr>
            <w:tcW w:w="1167" w:type="dxa"/>
          </w:tcPr>
          <w:p w14:paraId="2AC18878" w14:textId="77777777" w:rsidR="00691E19" w:rsidRPr="002D45EF" w:rsidRDefault="00691E19" w:rsidP="00D67F54">
            <w:pPr>
              <w:spacing w:line="264" w:lineRule="auto"/>
              <w:jc w:val="center"/>
              <w:rPr>
                <w:rFonts w:cs="Arial"/>
                <w:b/>
              </w:rPr>
            </w:pPr>
          </w:p>
        </w:tc>
        <w:tc>
          <w:tcPr>
            <w:tcW w:w="5942" w:type="dxa"/>
          </w:tcPr>
          <w:p w14:paraId="5D9D332B" w14:textId="5B8A8B28" w:rsidR="00691E19" w:rsidRPr="002D45EF" w:rsidRDefault="00691E19" w:rsidP="00D67F54">
            <w:pPr>
              <w:spacing w:line="264" w:lineRule="auto"/>
              <w:rPr>
                <w:rFonts w:cs="Arial"/>
              </w:rPr>
            </w:pPr>
            <w:bookmarkStart w:id="2" w:name="_Hlk519780125"/>
            <w:r w:rsidRPr="002D45EF">
              <w:rPr>
                <w:rFonts w:cs="Arial"/>
              </w:rPr>
              <w:t>External Projects Financial Programming Division</w:t>
            </w:r>
            <w:bookmarkEnd w:id="2"/>
          </w:p>
        </w:tc>
      </w:tr>
      <w:tr w:rsidR="00ED293E" w:rsidRPr="002D45EF" w14:paraId="018F9798" w14:textId="77777777" w:rsidTr="001C1E53">
        <w:trPr>
          <w:jc w:val="center"/>
        </w:trPr>
        <w:tc>
          <w:tcPr>
            <w:tcW w:w="1207" w:type="dxa"/>
          </w:tcPr>
          <w:p w14:paraId="1EB37834" w14:textId="718C6F61" w:rsidR="00ED293E" w:rsidRPr="002D45EF" w:rsidRDefault="00377836" w:rsidP="00D67F54">
            <w:pPr>
              <w:spacing w:line="264" w:lineRule="auto"/>
              <w:rPr>
                <w:rFonts w:cs="Arial"/>
              </w:rPr>
            </w:pPr>
            <w:r w:rsidRPr="002D45EF">
              <w:rPr>
                <w:rFonts w:cs="Arial"/>
              </w:rPr>
              <w:t>FMIS</w:t>
            </w:r>
          </w:p>
        </w:tc>
        <w:tc>
          <w:tcPr>
            <w:tcW w:w="1167" w:type="dxa"/>
          </w:tcPr>
          <w:p w14:paraId="661720B4" w14:textId="1146FEE0" w:rsidR="00ED293E" w:rsidRPr="002D45EF" w:rsidRDefault="00ED293E" w:rsidP="00D67F54">
            <w:pPr>
              <w:spacing w:line="264" w:lineRule="auto"/>
              <w:jc w:val="center"/>
              <w:rPr>
                <w:rFonts w:cs="Arial"/>
                <w:b/>
              </w:rPr>
            </w:pPr>
          </w:p>
        </w:tc>
        <w:tc>
          <w:tcPr>
            <w:tcW w:w="5942" w:type="dxa"/>
          </w:tcPr>
          <w:p w14:paraId="204E93FA" w14:textId="51D29D2F" w:rsidR="00ED293E" w:rsidRPr="002D45EF" w:rsidRDefault="00377836" w:rsidP="00D67F54">
            <w:pPr>
              <w:spacing w:line="264" w:lineRule="auto"/>
              <w:rPr>
                <w:rFonts w:cs="Arial"/>
              </w:rPr>
            </w:pPr>
            <w:r w:rsidRPr="002D45EF">
              <w:rPr>
                <w:rFonts w:cs="Arial"/>
              </w:rPr>
              <w:t xml:space="preserve">Financial Management Information </w:t>
            </w:r>
            <w:r w:rsidR="00711741" w:rsidRPr="002D45EF">
              <w:rPr>
                <w:rFonts w:cs="Arial"/>
              </w:rPr>
              <w:t>S</w:t>
            </w:r>
            <w:r w:rsidRPr="002D45EF">
              <w:rPr>
                <w:rFonts w:cs="Arial"/>
              </w:rPr>
              <w:t>ystem</w:t>
            </w:r>
          </w:p>
        </w:tc>
      </w:tr>
      <w:tr w:rsidR="00ED293E" w:rsidRPr="002D45EF" w14:paraId="6BAA7D19" w14:textId="77777777" w:rsidTr="001C1E53">
        <w:trPr>
          <w:jc w:val="center"/>
        </w:trPr>
        <w:tc>
          <w:tcPr>
            <w:tcW w:w="1207" w:type="dxa"/>
          </w:tcPr>
          <w:p w14:paraId="03A71E9A" w14:textId="3E9E5FC2" w:rsidR="00ED293E" w:rsidRPr="002D45EF" w:rsidRDefault="00ED293E" w:rsidP="00D67F54">
            <w:pPr>
              <w:spacing w:line="264" w:lineRule="auto"/>
              <w:rPr>
                <w:rFonts w:cs="Arial"/>
              </w:rPr>
            </w:pPr>
            <w:r w:rsidRPr="002D45EF">
              <w:rPr>
                <w:rFonts w:cs="Arial"/>
              </w:rPr>
              <w:t>IMF</w:t>
            </w:r>
          </w:p>
        </w:tc>
        <w:tc>
          <w:tcPr>
            <w:tcW w:w="1167" w:type="dxa"/>
          </w:tcPr>
          <w:p w14:paraId="3D4DBAD5" w14:textId="39547836" w:rsidR="00ED293E" w:rsidRPr="002D45EF" w:rsidRDefault="00ED293E" w:rsidP="00D67F54">
            <w:pPr>
              <w:spacing w:line="264" w:lineRule="auto"/>
              <w:jc w:val="center"/>
              <w:rPr>
                <w:rFonts w:cs="Arial"/>
                <w:b/>
              </w:rPr>
            </w:pPr>
          </w:p>
        </w:tc>
        <w:tc>
          <w:tcPr>
            <w:tcW w:w="5942" w:type="dxa"/>
          </w:tcPr>
          <w:p w14:paraId="6A0562C1" w14:textId="40758213" w:rsidR="00ED293E" w:rsidRPr="002D45EF" w:rsidRDefault="00ED293E" w:rsidP="00D67F54">
            <w:pPr>
              <w:spacing w:line="264" w:lineRule="auto"/>
              <w:rPr>
                <w:rFonts w:cs="Arial"/>
              </w:rPr>
            </w:pPr>
            <w:r w:rsidRPr="002D45EF">
              <w:rPr>
                <w:rFonts w:cs="Arial"/>
              </w:rPr>
              <w:t>International Monetary Fund</w:t>
            </w:r>
          </w:p>
        </w:tc>
      </w:tr>
      <w:tr w:rsidR="002973B7" w:rsidRPr="002D45EF" w14:paraId="406AA4B1" w14:textId="77777777" w:rsidTr="001C1E53">
        <w:trPr>
          <w:jc w:val="center"/>
        </w:trPr>
        <w:tc>
          <w:tcPr>
            <w:tcW w:w="1207" w:type="dxa"/>
          </w:tcPr>
          <w:p w14:paraId="6F4345C6" w14:textId="4ADC22B3" w:rsidR="002973B7" w:rsidRPr="002D45EF" w:rsidRDefault="002973B7" w:rsidP="00D67F54">
            <w:pPr>
              <w:spacing w:line="264" w:lineRule="auto"/>
              <w:rPr>
                <w:rFonts w:cs="Arial"/>
              </w:rPr>
            </w:pPr>
            <w:r w:rsidRPr="002D45EF">
              <w:rPr>
                <w:rFonts w:cs="Arial"/>
              </w:rPr>
              <w:t>PDMD</w:t>
            </w:r>
          </w:p>
        </w:tc>
        <w:tc>
          <w:tcPr>
            <w:tcW w:w="1167" w:type="dxa"/>
          </w:tcPr>
          <w:p w14:paraId="02D8BE56" w14:textId="78948016" w:rsidR="002973B7" w:rsidRPr="002D45EF" w:rsidRDefault="002973B7" w:rsidP="00D67F54">
            <w:pPr>
              <w:spacing w:line="264" w:lineRule="auto"/>
              <w:jc w:val="center"/>
              <w:rPr>
                <w:rFonts w:cs="Arial"/>
              </w:rPr>
            </w:pPr>
          </w:p>
        </w:tc>
        <w:tc>
          <w:tcPr>
            <w:tcW w:w="5942" w:type="dxa"/>
          </w:tcPr>
          <w:p w14:paraId="500A9107" w14:textId="1DF324AB" w:rsidR="002973B7" w:rsidRPr="002D45EF" w:rsidRDefault="002973B7" w:rsidP="00D67F54">
            <w:pPr>
              <w:spacing w:line="264" w:lineRule="auto"/>
              <w:rPr>
                <w:rFonts w:cs="Arial"/>
              </w:rPr>
            </w:pPr>
            <w:r w:rsidRPr="002D45EF">
              <w:rPr>
                <w:rFonts w:cs="Arial"/>
              </w:rPr>
              <w:t>Public Debt Management Department</w:t>
            </w:r>
          </w:p>
        </w:tc>
      </w:tr>
      <w:tr w:rsidR="00ED293E" w:rsidRPr="002D45EF" w14:paraId="4D38EC89" w14:textId="77777777" w:rsidTr="001C1E53">
        <w:trPr>
          <w:jc w:val="center"/>
        </w:trPr>
        <w:tc>
          <w:tcPr>
            <w:tcW w:w="1207" w:type="dxa"/>
          </w:tcPr>
          <w:p w14:paraId="5B15F4B4" w14:textId="03D4D2D7" w:rsidR="00ED293E" w:rsidRPr="002D45EF" w:rsidRDefault="00BF755D" w:rsidP="00D67F54">
            <w:pPr>
              <w:spacing w:line="264" w:lineRule="auto"/>
              <w:rPr>
                <w:rFonts w:cs="Arial"/>
              </w:rPr>
            </w:pPr>
            <w:r w:rsidRPr="002D45EF">
              <w:rPr>
                <w:rFonts w:cs="Arial"/>
              </w:rPr>
              <w:t>M</w:t>
            </w:r>
            <w:r w:rsidR="002973B7" w:rsidRPr="002D45EF">
              <w:rPr>
                <w:rFonts w:cs="Arial"/>
              </w:rPr>
              <w:t>o</w:t>
            </w:r>
            <w:r w:rsidRPr="002D45EF">
              <w:rPr>
                <w:rFonts w:cs="Arial"/>
              </w:rPr>
              <w:t>F</w:t>
            </w:r>
          </w:p>
        </w:tc>
        <w:tc>
          <w:tcPr>
            <w:tcW w:w="1167" w:type="dxa"/>
          </w:tcPr>
          <w:p w14:paraId="74597A86" w14:textId="7402CF57" w:rsidR="00ED293E" w:rsidRPr="002D45EF" w:rsidRDefault="00ED293E" w:rsidP="00D67F54">
            <w:pPr>
              <w:spacing w:line="264" w:lineRule="auto"/>
              <w:jc w:val="center"/>
              <w:rPr>
                <w:rFonts w:cs="Arial"/>
                <w:b/>
              </w:rPr>
            </w:pPr>
          </w:p>
        </w:tc>
        <w:tc>
          <w:tcPr>
            <w:tcW w:w="5942" w:type="dxa"/>
          </w:tcPr>
          <w:p w14:paraId="27BE5E6B" w14:textId="22E981D2" w:rsidR="00ED293E" w:rsidRPr="002D45EF" w:rsidRDefault="00BF755D" w:rsidP="00D67F54">
            <w:pPr>
              <w:spacing w:line="264" w:lineRule="auto"/>
              <w:rPr>
                <w:rFonts w:cs="Arial"/>
              </w:rPr>
            </w:pPr>
            <w:r w:rsidRPr="002D45EF">
              <w:rPr>
                <w:rFonts w:cs="Arial"/>
              </w:rPr>
              <w:t>Ministry of Finance</w:t>
            </w:r>
          </w:p>
        </w:tc>
      </w:tr>
      <w:tr w:rsidR="00C06853" w:rsidRPr="002D45EF" w14:paraId="280C2918" w14:textId="77777777" w:rsidTr="001C1E53">
        <w:trPr>
          <w:jc w:val="center"/>
        </w:trPr>
        <w:tc>
          <w:tcPr>
            <w:tcW w:w="1207" w:type="dxa"/>
          </w:tcPr>
          <w:p w14:paraId="25758BB1" w14:textId="2583EADC" w:rsidR="00C06853" w:rsidRPr="002D45EF" w:rsidRDefault="00C06853" w:rsidP="00D67F54">
            <w:pPr>
              <w:spacing w:line="264" w:lineRule="auto"/>
              <w:rPr>
                <w:rFonts w:cs="Arial"/>
              </w:rPr>
            </w:pPr>
            <w:r w:rsidRPr="002D45EF">
              <w:rPr>
                <w:rFonts w:cs="Arial"/>
              </w:rPr>
              <w:t>PIU</w:t>
            </w:r>
          </w:p>
        </w:tc>
        <w:tc>
          <w:tcPr>
            <w:tcW w:w="1167" w:type="dxa"/>
          </w:tcPr>
          <w:p w14:paraId="297CDD1E" w14:textId="77777777" w:rsidR="00C06853" w:rsidRPr="002D45EF" w:rsidRDefault="00C06853" w:rsidP="00D67F54">
            <w:pPr>
              <w:spacing w:line="264" w:lineRule="auto"/>
              <w:jc w:val="center"/>
              <w:rPr>
                <w:rFonts w:cs="Arial"/>
                <w:b/>
              </w:rPr>
            </w:pPr>
          </w:p>
        </w:tc>
        <w:tc>
          <w:tcPr>
            <w:tcW w:w="5942" w:type="dxa"/>
          </w:tcPr>
          <w:p w14:paraId="363B9D3E" w14:textId="7F40A27A" w:rsidR="00C06853" w:rsidRPr="002D45EF" w:rsidRDefault="00C06853" w:rsidP="00D67F54">
            <w:pPr>
              <w:spacing w:line="264" w:lineRule="auto"/>
              <w:rPr>
                <w:rFonts w:cs="Arial"/>
              </w:rPr>
            </w:pPr>
            <w:r w:rsidRPr="002D45EF">
              <w:rPr>
                <w:rFonts w:cs="Arial"/>
              </w:rPr>
              <w:t>Project Implementation Unit</w:t>
            </w:r>
          </w:p>
        </w:tc>
      </w:tr>
      <w:tr w:rsidR="00ED293E" w:rsidRPr="002D45EF" w14:paraId="67174AE6" w14:textId="77777777" w:rsidTr="001C1E53">
        <w:trPr>
          <w:jc w:val="center"/>
        </w:trPr>
        <w:tc>
          <w:tcPr>
            <w:tcW w:w="1207" w:type="dxa"/>
          </w:tcPr>
          <w:p w14:paraId="091068AE" w14:textId="17F7D45B" w:rsidR="00ED293E" w:rsidRPr="002D45EF" w:rsidRDefault="006D7EF2" w:rsidP="00D67F54">
            <w:pPr>
              <w:spacing w:line="264" w:lineRule="auto"/>
              <w:rPr>
                <w:rFonts w:cs="Arial"/>
              </w:rPr>
            </w:pPr>
            <w:r w:rsidRPr="002D45EF">
              <w:rPr>
                <w:rFonts w:cs="Arial"/>
              </w:rPr>
              <w:t>SLA</w:t>
            </w:r>
          </w:p>
        </w:tc>
        <w:tc>
          <w:tcPr>
            <w:tcW w:w="1167" w:type="dxa"/>
          </w:tcPr>
          <w:p w14:paraId="558C87F1" w14:textId="62743340" w:rsidR="00ED293E" w:rsidRPr="002D45EF" w:rsidRDefault="00ED293E" w:rsidP="00D67F54">
            <w:pPr>
              <w:spacing w:line="264" w:lineRule="auto"/>
              <w:jc w:val="center"/>
              <w:rPr>
                <w:rFonts w:cs="Arial"/>
                <w:b/>
              </w:rPr>
            </w:pPr>
          </w:p>
        </w:tc>
        <w:tc>
          <w:tcPr>
            <w:tcW w:w="5942" w:type="dxa"/>
          </w:tcPr>
          <w:p w14:paraId="0B481341" w14:textId="6EC8386B" w:rsidR="00ED293E" w:rsidRPr="002D45EF" w:rsidRDefault="006D7EF2" w:rsidP="00D67F54">
            <w:pPr>
              <w:spacing w:line="264" w:lineRule="auto"/>
              <w:rPr>
                <w:rFonts w:cs="Arial"/>
              </w:rPr>
            </w:pPr>
            <w:r w:rsidRPr="002D45EF">
              <w:rPr>
                <w:rFonts w:cs="Arial"/>
              </w:rPr>
              <w:t>Service Level Agreement</w:t>
            </w:r>
          </w:p>
        </w:tc>
      </w:tr>
      <w:tr w:rsidR="00ED293E" w:rsidRPr="002D45EF" w14:paraId="07760A70" w14:textId="77777777" w:rsidTr="001C1E53">
        <w:trPr>
          <w:jc w:val="center"/>
        </w:trPr>
        <w:tc>
          <w:tcPr>
            <w:tcW w:w="1207" w:type="dxa"/>
          </w:tcPr>
          <w:p w14:paraId="3370E5B2" w14:textId="499808FF" w:rsidR="00ED293E" w:rsidRPr="002D45EF" w:rsidRDefault="00711741" w:rsidP="00D67F54">
            <w:pPr>
              <w:spacing w:line="264" w:lineRule="auto"/>
              <w:rPr>
                <w:rFonts w:cs="Arial"/>
              </w:rPr>
            </w:pPr>
            <w:r w:rsidRPr="002D45EF">
              <w:rPr>
                <w:rFonts w:cs="Arial"/>
              </w:rPr>
              <w:t>SRC</w:t>
            </w:r>
          </w:p>
        </w:tc>
        <w:tc>
          <w:tcPr>
            <w:tcW w:w="1167" w:type="dxa"/>
          </w:tcPr>
          <w:p w14:paraId="0D28A6DF" w14:textId="2AD9267B" w:rsidR="00ED293E" w:rsidRPr="002D45EF" w:rsidRDefault="00ED293E" w:rsidP="00D67F54">
            <w:pPr>
              <w:spacing w:line="264" w:lineRule="auto"/>
              <w:jc w:val="center"/>
              <w:rPr>
                <w:rFonts w:cs="Arial"/>
                <w:b/>
              </w:rPr>
            </w:pPr>
          </w:p>
        </w:tc>
        <w:tc>
          <w:tcPr>
            <w:tcW w:w="5942" w:type="dxa"/>
          </w:tcPr>
          <w:p w14:paraId="6B967E3E" w14:textId="79D010EB" w:rsidR="00ED293E" w:rsidRPr="002D45EF" w:rsidRDefault="00711741" w:rsidP="00D67F54">
            <w:pPr>
              <w:spacing w:line="264" w:lineRule="auto"/>
              <w:rPr>
                <w:rFonts w:cs="Arial"/>
              </w:rPr>
            </w:pPr>
            <w:r w:rsidRPr="002D45EF">
              <w:rPr>
                <w:rFonts w:cs="Arial"/>
              </w:rPr>
              <w:t>State Revenue Committee</w:t>
            </w:r>
          </w:p>
        </w:tc>
      </w:tr>
      <w:tr w:rsidR="00ED293E" w:rsidRPr="002D45EF" w14:paraId="733871C1" w14:textId="77777777" w:rsidTr="001C1E53">
        <w:trPr>
          <w:jc w:val="center"/>
        </w:trPr>
        <w:tc>
          <w:tcPr>
            <w:tcW w:w="1207" w:type="dxa"/>
          </w:tcPr>
          <w:p w14:paraId="567B0C2E" w14:textId="36958040" w:rsidR="00ED293E" w:rsidRPr="002D45EF" w:rsidRDefault="00711741" w:rsidP="00D67F54">
            <w:pPr>
              <w:spacing w:line="264" w:lineRule="auto"/>
              <w:rPr>
                <w:rFonts w:cs="Arial"/>
              </w:rPr>
            </w:pPr>
            <w:r w:rsidRPr="002D45EF">
              <w:rPr>
                <w:rFonts w:cs="Arial"/>
              </w:rPr>
              <w:t>TA</w:t>
            </w:r>
          </w:p>
        </w:tc>
        <w:tc>
          <w:tcPr>
            <w:tcW w:w="1167" w:type="dxa"/>
          </w:tcPr>
          <w:p w14:paraId="498F21F8" w14:textId="769C4C05" w:rsidR="00ED293E" w:rsidRPr="002D45EF" w:rsidRDefault="00ED293E" w:rsidP="00D67F54">
            <w:pPr>
              <w:spacing w:line="264" w:lineRule="auto"/>
              <w:jc w:val="center"/>
              <w:rPr>
                <w:rFonts w:cs="Arial"/>
                <w:b/>
              </w:rPr>
            </w:pPr>
          </w:p>
        </w:tc>
        <w:tc>
          <w:tcPr>
            <w:tcW w:w="5942" w:type="dxa"/>
          </w:tcPr>
          <w:p w14:paraId="1316F818" w14:textId="6C5BA4C1" w:rsidR="00ED293E" w:rsidRPr="002D45EF" w:rsidRDefault="00711741" w:rsidP="00D67F54">
            <w:pPr>
              <w:spacing w:line="264" w:lineRule="auto"/>
              <w:rPr>
                <w:rFonts w:cs="Arial"/>
              </w:rPr>
            </w:pPr>
            <w:r w:rsidRPr="002D45EF">
              <w:rPr>
                <w:rFonts w:cs="Arial"/>
              </w:rPr>
              <w:t>Technical Assistance</w:t>
            </w:r>
          </w:p>
        </w:tc>
      </w:tr>
      <w:tr w:rsidR="00ED293E" w:rsidRPr="002D45EF" w14:paraId="4EECE932" w14:textId="77777777" w:rsidTr="001C1E53">
        <w:trPr>
          <w:jc w:val="center"/>
        </w:trPr>
        <w:tc>
          <w:tcPr>
            <w:tcW w:w="1207" w:type="dxa"/>
          </w:tcPr>
          <w:p w14:paraId="5770EC6D" w14:textId="233372AF" w:rsidR="00ED293E" w:rsidRPr="002D45EF" w:rsidRDefault="00ED293E" w:rsidP="00D67F54">
            <w:pPr>
              <w:spacing w:line="264" w:lineRule="auto"/>
              <w:rPr>
                <w:rFonts w:cs="Arial"/>
              </w:rPr>
            </w:pPr>
            <w:r w:rsidRPr="002D45EF">
              <w:rPr>
                <w:rFonts w:cs="Arial"/>
              </w:rPr>
              <w:t xml:space="preserve">T-bills           </w:t>
            </w:r>
          </w:p>
        </w:tc>
        <w:tc>
          <w:tcPr>
            <w:tcW w:w="1167" w:type="dxa"/>
          </w:tcPr>
          <w:p w14:paraId="222B006B" w14:textId="67A6097C" w:rsidR="00ED293E" w:rsidRPr="002D45EF" w:rsidRDefault="00ED293E" w:rsidP="00D67F54">
            <w:pPr>
              <w:spacing w:line="264" w:lineRule="auto"/>
              <w:jc w:val="center"/>
              <w:rPr>
                <w:rFonts w:cs="Arial"/>
                <w:b/>
              </w:rPr>
            </w:pPr>
          </w:p>
        </w:tc>
        <w:tc>
          <w:tcPr>
            <w:tcW w:w="5942" w:type="dxa"/>
          </w:tcPr>
          <w:p w14:paraId="66BBD525" w14:textId="5CE492FE" w:rsidR="00ED293E" w:rsidRPr="002D45EF" w:rsidRDefault="00ED293E" w:rsidP="00D67F54">
            <w:pPr>
              <w:spacing w:line="264" w:lineRule="auto"/>
              <w:rPr>
                <w:rFonts w:cs="Arial"/>
              </w:rPr>
            </w:pPr>
            <w:r w:rsidRPr="002D45EF">
              <w:rPr>
                <w:rFonts w:cs="Arial"/>
              </w:rPr>
              <w:t xml:space="preserve">Treasury </w:t>
            </w:r>
            <w:r w:rsidR="006D7EF2" w:rsidRPr="002D45EF">
              <w:rPr>
                <w:rFonts w:cs="Arial"/>
              </w:rPr>
              <w:t>b</w:t>
            </w:r>
            <w:r w:rsidRPr="002D45EF">
              <w:rPr>
                <w:rFonts w:cs="Arial"/>
              </w:rPr>
              <w:t>ills</w:t>
            </w:r>
          </w:p>
        </w:tc>
      </w:tr>
      <w:tr w:rsidR="00ED293E" w:rsidRPr="002D45EF" w14:paraId="1134114E" w14:textId="77777777" w:rsidTr="001C1E53">
        <w:trPr>
          <w:jc w:val="center"/>
        </w:trPr>
        <w:tc>
          <w:tcPr>
            <w:tcW w:w="1207" w:type="dxa"/>
          </w:tcPr>
          <w:p w14:paraId="71BB0D8F" w14:textId="5CA07C03" w:rsidR="00ED293E" w:rsidRPr="002D45EF" w:rsidRDefault="00ED293E" w:rsidP="00D67F54">
            <w:pPr>
              <w:spacing w:line="264" w:lineRule="auto"/>
              <w:rPr>
                <w:rFonts w:cs="Arial"/>
              </w:rPr>
            </w:pPr>
            <w:r w:rsidRPr="002D45EF">
              <w:rPr>
                <w:rFonts w:cs="Arial"/>
              </w:rPr>
              <w:t xml:space="preserve">T-bonds       </w:t>
            </w:r>
          </w:p>
        </w:tc>
        <w:tc>
          <w:tcPr>
            <w:tcW w:w="1167" w:type="dxa"/>
          </w:tcPr>
          <w:p w14:paraId="30042475" w14:textId="67C6BADA" w:rsidR="00ED293E" w:rsidRPr="002D45EF" w:rsidRDefault="00ED293E" w:rsidP="00D67F54">
            <w:pPr>
              <w:spacing w:line="264" w:lineRule="auto"/>
              <w:jc w:val="center"/>
              <w:rPr>
                <w:rFonts w:cs="Arial"/>
                <w:b/>
              </w:rPr>
            </w:pPr>
          </w:p>
        </w:tc>
        <w:tc>
          <w:tcPr>
            <w:tcW w:w="5942" w:type="dxa"/>
          </w:tcPr>
          <w:p w14:paraId="29F75992" w14:textId="2C7DC0D1" w:rsidR="00ED293E" w:rsidRPr="002D45EF" w:rsidRDefault="00ED293E" w:rsidP="00D67F54">
            <w:pPr>
              <w:spacing w:line="264" w:lineRule="auto"/>
              <w:rPr>
                <w:rFonts w:cs="Arial"/>
              </w:rPr>
            </w:pPr>
            <w:r w:rsidRPr="002D45EF">
              <w:rPr>
                <w:rFonts w:cs="Arial"/>
              </w:rPr>
              <w:t xml:space="preserve">Treasury </w:t>
            </w:r>
            <w:r w:rsidR="006D7EF2" w:rsidRPr="002D45EF">
              <w:rPr>
                <w:rFonts w:cs="Arial"/>
              </w:rPr>
              <w:t>b</w:t>
            </w:r>
            <w:r w:rsidRPr="002D45EF">
              <w:rPr>
                <w:rFonts w:cs="Arial"/>
              </w:rPr>
              <w:t>onds</w:t>
            </w:r>
          </w:p>
        </w:tc>
      </w:tr>
      <w:tr w:rsidR="00377836" w:rsidRPr="002D45EF" w14:paraId="046C8A15" w14:textId="77777777" w:rsidTr="001C1E53">
        <w:trPr>
          <w:jc w:val="center"/>
        </w:trPr>
        <w:tc>
          <w:tcPr>
            <w:tcW w:w="1207" w:type="dxa"/>
          </w:tcPr>
          <w:p w14:paraId="0966F02D" w14:textId="21F484AE" w:rsidR="00377836" w:rsidRPr="002D45EF" w:rsidRDefault="00377836" w:rsidP="00D67F54">
            <w:pPr>
              <w:spacing w:line="264" w:lineRule="auto"/>
              <w:rPr>
                <w:rFonts w:cs="Arial"/>
              </w:rPr>
            </w:pPr>
            <w:r w:rsidRPr="002D45EF">
              <w:rPr>
                <w:rFonts w:cs="Arial"/>
              </w:rPr>
              <w:t>TOD</w:t>
            </w:r>
          </w:p>
        </w:tc>
        <w:tc>
          <w:tcPr>
            <w:tcW w:w="1167" w:type="dxa"/>
          </w:tcPr>
          <w:p w14:paraId="4D18AA5D" w14:textId="77777777" w:rsidR="00377836" w:rsidRPr="002D45EF" w:rsidRDefault="00377836" w:rsidP="00D67F54">
            <w:pPr>
              <w:spacing w:line="264" w:lineRule="auto"/>
              <w:jc w:val="center"/>
              <w:rPr>
                <w:rFonts w:cs="Arial"/>
              </w:rPr>
            </w:pPr>
          </w:p>
        </w:tc>
        <w:tc>
          <w:tcPr>
            <w:tcW w:w="5942" w:type="dxa"/>
          </w:tcPr>
          <w:p w14:paraId="464C9E95" w14:textId="2A667EBF" w:rsidR="00377836" w:rsidRPr="002D45EF" w:rsidRDefault="00377836" w:rsidP="00D67F54">
            <w:pPr>
              <w:spacing w:line="264" w:lineRule="auto"/>
              <w:rPr>
                <w:rFonts w:cs="Arial"/>
              </w:rPr>
            </w:pPr>
            <w:r w:rsidRPr="002D45EF">
              <w:rPr>
                <w:rFonts w:cs="Arial"/>
              </w:rPr>
              <w:t>Treasury Operations Department</w:t>
            </w:r>
          </w:p>
        </w:tc>
      </w:tr>
      <w:tr w:rsidR="00ED293E" w:rsidRPr="002D45EF" w14:paraId="20C8C867" w14:textId="77777777" w:rsidTr="001C1E53">
        <w:trPr>
          <w:jc w:val="center"/>
        </w:trPr>
        <w:tc>
          <w:tcPr>
            <w:tcW w:w="1207" w:type="dxa"/>
          </w:tcPr>
          <w:p w14:paraId="158899F5" w14:textId="2C26FCC2" w:rsidR="00ED293E" w:rsidRPr="002D45EF" w:rsidRDefault="00377836" w:rsidP="00D67F54">
            <w:pPr>
              <w:spacing w:line="264" w:lineRule="auto"/>
              <w:rPr>
                <w:rFonts w:cs="Arial"/>
              </w:rPr>
            </w:pPr>
            <w:r w:rsidRPr="002D45EF">
              <w:rPr>
                <w:rFonts w:cs="Arial"/>
              </w:rPr>
              <w:t>TSA</w:t>
            </w:r>
          </w:p>
        </w:tc>
        <w:tc>
          <w:tcPr>
            <w:tcW w:w="1167" w:type="dxa"/>
          </w:tcPr>
          <w:p w14:paraId="3486FD75" w14:textId="13225D2C" w:rsidR="00ED293E" w:rsidRPr="002D45EF" w:rsidRDefault="00ED293E" w:rsidP="00D67F54">
            <w:pPr>
              <w:spacing w:line="264" w:lineRule="auto"/>
              <w:jc w:val="center"/>
              <w:rPr>
                <w:rFonts w:cs="Arial"/>
                <w:b/>
              </w:rPr>
            </w:pPr>
          </w:p>
        </w:tc>
        <w:tc>
          <w:tcPr>
            <w:tcW w:w="5942" w:type="dxa"/>
          </w:tcPr>
          <w:p w14:paraId="39B646D9" w14:textId="192AA114" w:rsidR="00ED293E" w:rsidRPr="002D45EF" w:rsidRDefault="00377836" w:rsidP="00D67F54">
            <w:pPr>
              <w:spacing w:line="264" w:lineRule="auto"/>
              <w:rPr>
                <w:rFonts w:cs="Arial"/>
              </w:rPr>
            </w:pPr>
            <w:r w:rsidRPr="002D45EF">
              <w:rPr>
                <w:rFonts w:cs="Arial"/>
              </w:rPr>
              <w:t>Treasury Single Account</w:t>
            </w:r>
          </w:p>
        </w:tc>
      </w:tr>
    </w:tbl>
    <w:p w14:paraId="7705E954" w14:textId="77777777" w:rsidR="00634088" w:rsidRPr="002D45EF" w:rsidRDefault="00634088" w:rsidP="0032254A">
      <w:pPr>
        <w:rPr>
          <w:rFonts w:cs="Arial"/>
        </w:rPr>
      </w:pPr>
    </w:p>
    <w:p w14:paraId="25B98157" w14:textId="77777777" w:rsidR="004F36E0" w:rsidRPr="002D45EF" w:rsidRDefault="004F36E0" w:rsidP="0032254A">
      <w:pPr>
        <w:rPr>
          <w:rFonts w:cs="Arial"/>
        </w:rPr>
      </w:pPr>
    </w:p>
    <w:p w14:paraId="4AFE27B6" w14:textId="154D1D62" w:rsidR="005A1594" w:rsidRPr="002D45EF" w:rsidRDefault="005A1594" w:rsidP="0032254A">
      <w:pPr>
        <w:rPr>
          <w:rFonts w:cs="Arial"/>
        </w:rPr>
        <w:sectPr w:rsidR="005A1594" w:rsidRPr="002D45EF" w:rsidSect="00D84E07">
          <w:headerReference w:type="first" r:id="rId14"/>
          <w:pgSz w:w="12240" w:h="15840"/>
          <w:pgMar w:top="1440" w:right="1440" w:bottom="1440" w:left="1440" w:header="720" w:footer="720" w:gutter="0"/>
          <w:pgNumType w:fmt="lowerRoman" w:start="1"/>
          <w:cols w:space="720"/>
          <w:titlePg/>
          <w:docGrid w:linePitch="360"/>
        </w:sectPr>
      </w:pPr>
    </w:p>
    <w:p w14:paraId="14C62F3E" w14:textId="7DDC0339" w:rsidR="00634088" w:rsidRPr="002D45EF" w:rsidRDefault="00715DD6" w:rsidP="005A1594">
      <w:pPr>
        <w:jc w:val="center"/>
        <w:rPr>
          <w:rFonts w:cs="Arial"/>
          <w:b/>
          <w:sz w:val="24"/>
          <w:szCs w:val="24"/>
        </w:rPr>
      </w:pPr>
      <w:bookmarkStart w:id="3" w:name="_Hlk519783759"/>
      <w:r w:rsidRPr="002D45EF">
        <w:rPr>
          <w:rFonts w:cs="Arial"/>
          <w:b/>
          <w:sz w:val="24"/>
          <w:szCs w:val="24"/>
        </w:rPr>
        <w:lastRenderedPageBreak/>
        <w:t>CONTENTS</w:t>
      </w:r>
    </w:p>
    <w:p w14:paraId="7C74976B" w14:textId="1FE1CB80" w:rsidR="000C7AC0" w:rsidRPr="002D45EF" w:rsidRDefault="000C7AC0" w:rsidP="005A1594">
      <w:pPr>
        <w:jc w:val="center"/>
        <w:rPr>
          <w:rFonts w:cs="Arial"/>
          <w:b/>
          <w:sz w:val="24"/>
          <w:szCs w:val="24"/>
        </w:rPr>
      </w:pPr>
    </w:p>
    <w:p w14:paraId="2DD40DAF" w14:textId="7B2B4051" w:rsidR="00117050" w:rsidRDefault="004D3946">
      <w:pPr>
        <w:pStyle w:val="TOC1"/>
        <w:rPr>
          <w:rFonts w:asciiTheme="minorHAnsi" w:eastAsiaTheme="minorEastAsia" w:hAnsiTheme="minorHAnsi" w:cstheme="minorBidi"/>
          <w:caps w:val="0"/>
          <w:sz w:val="22"/>
          <w:szCs w:val="22"/>
          <w:lang w:val="en-GB" w:eastAsia="en-GB"/>
        </w:rPr>
      </w:pPr>
      <w:r w:rsidRPr="002D45EF">
        <w:rPr>
          <w:b/>
        </w:rPr>
        <w:fldChar w:fldCharType="begin"/>
      </w:r>
      <w:r w:rsidRPr="002D45EF">
        <w:rPr>
          <w:b/>
        </w:rPr>
        <w:instrText xml:space="preserve"> TOC \h \z \t "Topic_1,1,Topic_2,2,Topic_3,3" </w:instrText>
      </w:r>
      <w:r w:rsidRPr="002D45EF">
        <w:rPr>
          <w:b/>
        </w:rPr>
        <w:fldChar w:fldCharType="separate"/>
      </w:r>
      <w:hyperlink w:anchor="_Toc523069452" w:history="1">
        <w:r w:rsidR="00117050" w:rsidRPr="00F901B3">
          <w:rPr>
            <w:rStyle w:val="Hyperlink"/>
          </w:rPr>
          <w:t>Cash Management: the Workplan</w:t>
        </w:r>
        <w:r w:rsidR="00117050">
          <w:rPr>
            <w:webHidden/>
          </w:rPr>
          <w:tab/>
        </w:r>
        <w:r w:rsidR="00117050">
          <w:rPr>
            <w:webHidden/>
          </w:rPr>
          <w:fldChar w:fldCharType="begin"/>
        </w:r>
        <w:r w:rsidR="00117050">
          <w:rPr>
            <w:webHidden/>
          </w:rPr>
          <w:instrText xml:space="preserve"> PAGEREF _Toc523069452 \h </w:instrText>
        </w:r>
        <w:r w:rsidR="00117050">
          <w:rPr>
            <w:webHidden/>
          </w:rPr>
        </w:r>
        <w:r w:rsidR="00117050">
          <w:rPr>
            <w:webHidden/>
          </w:rPr>
          <w:fldChar w:fldCharType="separate"/>
        </w:r>
        <w:r w:rsidR="004E0C62">
          <w:rPr>
            <w:webHidden/>
          </w:rPr>
          <w:t>1</w:t>
        </w:r>
        <w:r w:rsidR="00117050">
          <w:rPr>
            <w:webHidden/>
          </w:rPr>
          <w:fldChar w:fldCharType="end"/>
        </w:r>
      </w:hyperlink>
    </w:p>
    <w:p w14:paraId="3B1DC0BA" w14:textId="5640095E" w:rsidR="00117050" w:rsidRDefault="00F20779">
      <w:pPr>
        <w:pStyle w:val="TOC2"/>
        <w:rPr>
          <w:rFonts w:asciiTheme="minorHAnsi" w:hAnsiTheme="minorHAnsi" w:cstheme="minorBidi"/>
          <w:noProof/>
          <w:lang w:val="en-GB" w:eastAsia="en-GB"/>
        </w:rPr>
      </w:pPr>
      <w:hyperlink w:anchor="_Toc523069453" w:history="1">
        <w:r w:rsidR="00117050" w:rsidRPr="00F901B3">
          <w:rPr>
            <w:rStyle w:val="Hyperlink"/>
            <w:noProof/>
          </w:rPr>
          <w:t>This Report</w:t>
        </w:r>
        <w:r w:rsidR="00117050">
          <w:rPr>
            <w:noProof/>
            <w:webHidden/>
          </w:rPr>
          <w:tab/>
        </w:r>
        <w:r w:rsidR="00117050">
          <w:rPr>
            <w:noProof/>
            <w:webHidden/>
          </w:rPr>
          <w:fldChar w:fldCharType="begin"/>
        </w:r>
        <w:r w:rsidR="00117050">
          <w:rPr>
            <w:noProof/>
            <w:webHidden/>
          </w:rPr>
          <w:instrText xml:space="preserve"> PAGEREF _Toc523069453 \h </w:instrText>
        </w:r>
        <w:r w:rsidR="00117050">
          <w:rPr>
            <w:noProof/>
            <w:webHidden/>
          </w:rPr>
        </w:r>
        <w:r w:rsidR="00117050">
          <w:rPr>
            <w:noProof/>
            <w:webHidden/>
          </w:rPr>
          <w:fldChar w:fldCharType="separate"/>
        </w:r>
        <w:r w:rsidR="004E0C62">
          <w:rPr>
            <w:noProof/>
            <w:webHidden/>
          </w:rPr>
          <w:t>1</w:t>
        </w:r>
        <w:r w:rsidR="00117050">
          <w:rPr>
            <w:noProof/>
            <w:webHidden/>
          </w:rPr>
          <w:fldChar w:fldCharType="end"/>
        </w:r>
      </w:hyperlink>
    </w:p>
    <w:p w14:paraId="7F77645A" w14:textId="2992BA38" w:rsidR="00117050" w:rsidRDefault="00F20779">
      <w:pPr>
        <w:pStyle w:val="TOC2"/>
        <w:rPr>
          <w:rFonts w:asciiTheme="minorHAnsi" w:hAnsiTheme="minorHAnsi" w:cstheme="minorBidi"/>
          <w:noProof/>
          <w:lang w:val="en-GB" w:eastAsia="en-GB"/>
        </w:rPr>
      </w:pPr>
      <w:hyperlink w:anchor="_Toc523069454" w:history="1">
        <w:r w:rsidR="00117050" w:rsidRPr="00F901B3">
          <w:rPr>
            <w:rStyle w:val="Hyperlink"/>
            <w:noProof/>
          </w:rPr>
          <w:t>Conclusion</w:t>
        </w:r>
        <w:r w:rsidR="00117050">
          <w:rPr>
            <w:noProof/>
            <w:webHidden/>
          </w:rPr>
          <w:tab/>
        </w:r>
        <w:r w:rsidR="00117050">
          <w:rPr>
            <w:noProof/>
            <w:webHidden/>
          </w:rPr>
          <w:fldChar w:fldCharType="begin"/>
        </w:r>
        <w:r w:rsidR="00117050">
          <w:rPr>
            <w:noProof/>
            <w:webHidden/>
          </w:rPr>
          <w:instrText xml:space="preserve"> PAGEREF _Toc523069454 \h </w:instrText>
        </w:r>
        <w:r w:rsidR="00117050">
          <w:rPr>
            <w:noProof/>
            <w:webHidden/>
          </w:rPr>
        </w:r>
        <w:r w:rsidR="00117050">
          <w:rPr>
            <w:noProof/>
            <w:webHidden/>
          </w:rPr>
          <w:fldChar w:fldCharType="separate"/>
        </w:r>
        <w:r w:rsidR="004E0C62">
          <w:rPr>
            <w:noProof/>
            <w:webHidden/>
          </w:rPr>
          <w:t>2</w:t>
        </w:r>
        <w:r w:rsidR="00117050">
          <w:rPr>
            <w:noProof/>
            <w:webHidden/>
          </w:rPr>
          <w:fldChar w:fldCharType="end"/>
        </w:r>
      </w:hyperlink>
    </w:p>
    <w:p w14:paraId="2251C729" w14:textId="3015AC0E" w:rsidR="00117050" w:rsidRDefault="00F20779">
      <w:pPr>
        <w:pStyle w:val="TOC1"/>
        <w:rPr>
          <w:rFonts w:asciiTheme="minorHAnsi" w:eastAsiaTheme="minorEastAsia" w:hAnsiTheme="minorHAnsi" w:cstheme="minorBidi"/>
          <w:caps w:val="0"/>
          <w:sz w:val="22"/>
          <w:szCs w:val="22"/>
          <w:lang w:val="en-GB" w:eastAsia="en-GB"/>
        </w:rPr>
      </w:pPr>
      <w:hyperlink w:anchor="_Toc523069455" w:history="1">
        <w:r w:rsidR="00117050" w:rsidRPr="00F901B3">
          <w:rPr>
            <w:rStyle w:val="Hyperlink"/>
          </w:rPr>
          <w:t>Annex A. Interim Report: Summary of recommedations</w:t>
        </w:r>
        <w:r w:rsidR="00117050">
          <w:rPr>
            <w:webHidden/>
          </w:rPr>
          <w:tab/>
        </w:r>
        <w:r w:rsidR="00117050">
          <w:rPr>
            <w:webHidden/>
          </w:rPr>
          <w:fldChar w:fldCharType="begin"/>
        </w:r>
        <w:r w:rsidR="00117050">
          <w:rPr>
            <w:webHidden/>
          </w:rPr>
          <w:instrText xml:space="preserve"> PAGEREF _Toc523069455 \h </w:instrText>
        </w:r>
        <w:r w:rsidR="00117050">
          <w:rPr>
            <w:webHidden/>
          </w:rPr>
        </w:r>
        <w:r w:rsidR="00117050">
          <w:rPr>
            <w:webHidden/>
          </w:rPr>
          <w:fldChar w:fldCharType="separate"/>
        </w:r>
        <w:r w:rsidR="004E0C62">
          <w:rPr>
            <w:webHidden/>
          </w:rPr>
          <w:t>3</w:t>
        </w:r>
        <w:r w:rsidR="00117050">
          <w:rPr>
            <w:webHidden/>
          </w:rPr>
          <w:fldChar w:fldCharType="end"/>
        </w:r>
      </w:hyperlink>
    </w:p>
    <w:p w14:paraId="36522A1D" w14:textId="22570C91" w:rsidR="00117050" w:rsidRDefault="00F20779">
      <w:pPr>
        <w:pStyle w:val="TOC1"/>
        <w:rPr>
          <w:rFonts w:asciiTheme="minorHAnsi" w:eastAsiaTheme="minorEastAsia" w:hAnsiTheme="minorHAnsi" w:cstheme="minorBidi"/>
          <w:caps w:val="0"/>
          <w:sz w:val="22"/>
          <w:szCs w:val="22"/>
          <w:lang w:val="en-GB" w:eastAsia="en-GB"/>
        </w:rPr>
      </w:pPr>
      <w:hyperlink w:anchor="_Toc523069456" w:history="1">
        <w:r w:rsidR="00117050" w:rsidRPr="00F901B3">
          <w:rPr>
            <w:rStyle w:val="Hyperlink"/>
          </w:rPr>
          <w:t>Annex B: WORK PLAN</w:t>
        </w:r>
        <w:r w:rsidR="00117050">
          <w:rPr>
            <w:webHidden/>
          </w:rPr>
          <w:tab/>
        </w:r>
        <w:r w:rsidR="00117050">
          <w:rPr>
            <w:webHidden/>
          </w:rPr>
          <w:fldChar w:fldCharType="begin"/>
        </w:r>
        <w:r w:rsidR="00117050">
          <w:rPr>
            <w:webHidden/>
          </w:rPr>
          <w:instrText xml:space="preserve"> PAGEREF _Toc523069456 \h </w:instrText>
        </w:r>
        <w:r w:rsidR="00117050">
          <w:rPr>
            <w:webHidden/>
          </w:rPr>
        </w:r>
        <w:r w:rsidR="00117050">
          <w:rPr>
            <w:webHidden/>
          </w:rPr>
          <w:fldChar w:fldCharType="separate"/>
        </w:r>
        <w:r w:rsidR="004E0C62">
          <w:rPr>
            <w:webHidden/>
          </w:rPr>
          <w:t>4</w:t>
        </w:r>
        <w:r w:rsidR="00117050">
          <w:rPr>
            <w:webHidden/>
          </w:rPr>
          <w:fldChar w:fldCharType="end"/>
        </w:r>
      </w:hyperlink>
    </w:p>
    <w:p w14:paraId="0926798C" w14:textId="65A1FC1E" w:rsidR="00117050" w:rsidRDefault="00F20779">
      <w:pPr>
        <w:pStyle w:val="TOC2"/>
        <w:rPr>
          <w:rFonts w:asciiTheme="minorHAnsi" w:hAnsiTheme="minorHAnsi" w:cstheme="minorBidi"/>
          <w:noProof/>
          <w:lang w:val="en-GB" w:eastAsia="en-GB"/>
        </w:rPr>
      </w:pPr>
      <w:hyperlink w:anchor="_Toc523069457" w:history="1">
        <w:r w:rsidR="00117050" w:rsidRPr="00F901B3">
          <w:rPr>
            <w:rStyle w:val="Hyperlink"/>
            <w:noProof/>
          </w:rPr>
          <w:t>Appendix: Active Cash Management: Outline Project Plan</w:t>
        </w:r>
        <w:r w:rsidR="00117050">
          <w:rPr>
            <w:noProof/>
            <w:webHidden/>
          </w:rPr>
          <w:tab/>
        </w:r>
        <w:r w:rsidR="00117050">
          <w:rPr>
            <w:noProof/>
            <w:webHidden/>
          </w:rPr>
          <w:fldChar w:fldCharType="begin"/>
        </w:r>
        <w:r w:rsidR="00117050">
          <w:rPr>
            <w:noProof/>
            <w:webHidden/>
          </w:rPr>
          <w:instrText xml:space="preserve"> PAGEREF _Toc523069457 \h </w:instrText>
        </w:r>
        <w:r w:rsidR="00117050">
          <w:rPr>
            <w:noProof/>
            <w:webHidden/>
          </w:rPr>
        </w:r>
        <w:r w:rsidR="00117050">
          <w:rPr>
            <w:noProof/>
            <w:webHidden/>
          </w:rPr>
          <w:fldChar w:fldCharType="separate"/>
        </w:r>
        <w:r w:rsidR="004E0C62">
          <w:rPr>
            <w:noProof/>
            <w:webHidden/>
          </w:rPr>
          <w:t>7</w:t>
        </w:r>
        <w:r w:rsidR="00117050">
          <w:rPr>
            <w:noProof/>
            <w:webHidden/>
          </w:rPr>
          <w:fldChar w:fldCharType="end"/>
        </w:r>
      </w:hyperlink>
    </w:p>
    <w:p w14:paraId="2411AFA0" w14:textId="17D8A791" w:rsidR="00117050" w:rsidRDefault="00F20779">
      <w:pPr>
        <w:pStyle w:val="TOC1"/>
        <w:rPr>
          <w:rFonts w:asciiTheme="minorHAnsi" w:eastAsiaTheme="minorEastAsia" w:hAnsiTheme="minorHAnsi" w:cstheme="minorBidi"/>
          <w:caps w:val="0"/>
          <w:sz w:val="22"/>
          <w:szCs w:val="22"/>
          <w:lang w:val="en-GB" w:eastAsia="en-GB"/>
        </w:rPr>
      </w:pPr>
      <w:hyperlink w:anchor="_Toc523069458" w:history="1">
        <w:r w:rsidR="00117050" w:rsidRPr="00F901B3">
          <w:rPr>
            <w:rStyle w:val="Hyperlink"/>
          </w:rPr>
          <w:t>Annex C: Commentary on Recommendations</w:t>
        </w:r>
        <w:r w:rsidR="00117050">
          <w:rPr>
            <w:webHidden/>
          </w:rPr>
          <w:tab/>
        </w:r>
        <w:r w:rsidR="00117050">
          <w:rPr>
            <w:webHidden/>
          </w:rPr>
          <w:fldChar w:fldCharType="begin"/>
        </w:r>
        <w:r w:rsidR="00117050">
          <w:rPr>
            <w:webHidden/>
          </w:rPr>
          <w:instrText xml:space="preserve"> PAGEREF _Toc523069458 \h </w:instrText>
        </w:r>
        <w:r w:rsidR="00117050">
          <w:rPr>
            <w:webHidden/>
          </w:rPr>
        </w:r>
        <w:r w:rsidR="00117050">
          <w:rPr>
            <w:webHidden/>
          </w:rPr>
          <w:fldChar w:fldCharType="separate"/>
        </w:r>
        <w:r w:rsidR="004E0C62">
          <w:rPr>
            <w:webHidden/>
          </w:rPr>
          <w:t>8</w:t>
        </w:r>
        <w:r w:rsidR="00117050">
          <w:rPr>
            <w:webHidden/>
          </w:rPr>
          <w:fldChar w:fldCharType="end"/>
        </w:r>
      </w:hyperlink>
    </w:p>
    <w:p w14:paraId="558B56B4" w14:textId="2C17B68C" w:rsidR="00117050" w:rsidRDefault="00F20779">
      <w:pPr>
        <w:pStyle w:val="TOC2"/>
        <w:rPr>
          <w:rFonts w:asciiTheme="minorHAnsi" w:hAnsiTheme="minorHAnsi" w:cstheme="minorBidi"/>
          <w:noProof/>
          <w:lang w:val="en-GB" w:eastAsia="en-GB"/>
        </w:rPr>
      </w:pPr>
      <w:hyperlink w:anchor="_Toc523069459" w:history="1">
        <w:r w:rsidR="00117050" w:rsidRPr="00F901B3">
          <w:rPr>
            <w:rStyle w:val="Hyperlink"/>
            <w:noProof/>
          </w:rPr>
          <w:t>Treasury Single Account</w:t>
        </w:r>
        <w:r w:rsidR="00117050">
          <w:rPr>
            <w:noProof/>
            <w:webHidden/>
          </w:rPr>
          <w:tab/>
        </w:r>
        <w:r w:rsidR="00117050">
          <w:rPr>
            <w:noProof/>
            <w:webHidden/>
          </w:rPr>
          <w:fldChar w:fldCharType="begin"/>
        </w:r>
        <w:r w:rsidR="00117050">
          <w:rPr>
            <w:noProof/>
            <w:webHidden/>
          </w:rPr>
          <w:instrText xml:space="preserve"> PAGEREF _Toc523069459 \h </w:instrText>
        </w:r>
        <w:r w:rsidR="00117050">
          <w:rPr>
            <w:noProof/>
            <w:webHidden/>
          </w:rPr>
        </w:r>
        <w:r w:rsidR="00117050">
          <w:rPr>
            <w:noProof/>
            <w:webHidden/>
          </w:rPr>
          <w:fldChar w:fldCharType="separate"/>
        </w:r>
        <w:r w:rsidR="004E0C62">
          <w:rPr>
            <w:noProof/>
            <w:webHidden/>
          </w:rPr>
          <w:t>8</w:t>
        </w:r>
        <w:r w:rsidR="00117050">
          <w:rPr>
            <w:noProof/>
            <w:webHidden/>
          </w:rPr>
          <w:fldChar w:fldCharType="end"/>
        </w:r>
      </w:hyperlink>
    </w:p>
    <w:p w14:paraId="5D8A1F77" w14:textId="45C8735A" w:rsidR="00117050" w:rsidRDefault="00F20779">
      <w:pPr>
        <w:pStyle w:val="TOC2"/>
        <w:rPr>
          <w:rFonts w:asciiTheme="minorHAnsi" w:hAnsiTheme="minorHAnsi" w:cstheme="minorBidi"/>
          <w:noProof/>
          <w:lang w:val="en-GB" w:eastAsia="en-GB"/>
        </w:rPr>
      </w:pPr>
      <w:hyperlink w:anchor="_Toc523069460" w:history="1">
        <w:r w:rsidR="00117050" w:rsidRPr="00F901B3">
          <w:rPr>
            <w:rStyle w:val="Hyperlink"/>
            <w:noProof/>
          </w:rPr>
          <w:t>Cash Flow Forecasting</w:t>
        </w:r>
        <w:r w:rsidR="00117050">
          <w:rPr>
            <w:noProof/>
            <w:webHidden/>
          </w:rPr>
          <w:tab/>
        </w:r>
        <w:r w:rsidR="00117050">
          <w:rPr>
            <w:noProof/>
            <w:webHidden/>
          </w:rPr>
          <w:fldChar w:fldCharType="begin"/>
        </w:r>
        <w:r w:rsidR="00117050">
          <w:rPr>
            <w:noProof/>
            <w:webHidden/>
          </w:rPr>
          <w:instrText xml:space="preserve"> PAGEREF _Toc523069460 \h </w:instrText>
        </w:r>
        <w:r w:rsidR="00117050">
          <w:rPr>
            <w:noProof/>
            <w:webHidden/>
          </w:rPr>
        </w:r>
        <w:r w:rsidR="00117050">
          <w:rPr>
            <w:noProof/>
            <w:webHidden/>
          </w:rPr>
          <w:fldChar w:fldCharType="separate"/>
        </w:r>
        <w:r w:rsidR="004E0C62">
          <w:rPr>
            <w:noProof/>
            <w:webHidden/>
          </w:rPr>
          <w:t>9</w:t>
        </w:r>
        <w:r w:rsidR="00117050">
          <w:rPr>
            <w:noProof/>
            <w:webHidden/>
          </w:rPr>
          <w:fldChar w:fldCharType="end"/>
        </w:r>
      </w:hyperlink>
    </w:p>
    <w:p w14:paraId="16E5FD89" w14:textId="337E8715" w:rsidR="00117050" w:rsidRDefault="00F20779">
      <w:pPr>
        <w:pStyle w:val="TOC2"/>
        <w:rPr>
          <w:rFonts w:asciiTheme="minorHAnsi" w:hAnsiTheme="minorHAnsi" w:cstheme="minorBidi"/>
          <w:noProof/>
          <w:lang w:val="en-GB" w:eastAsia="en-GB"/>
        </w:rPr>
      </w:pPr>
      <w:hyperlink w:anchor="_Toc523069461" w:history="1">
        <w:r w:rsidR="00117050" w:rsidRPr="00F901B3">
          <w:rPr>
            <w:rStyle w:val="Hyperlink"/>
            <w:noProof/>
          </w:rPr>
          <w:t>Active Cash Management</w:t>
        </w:r>
        <w:r w:rsidR="00117050">
          <w:rPr>
            <w:noProof/>
            <w:webHidden/>
          </w:rPr>
          <w:tab/>
        </w:r>
        <w:r w:rsidR="00117050">
          <w:rPr>
            <w:noProof/>
            <w:webHidden/>
          </w:rPr>
          <w:fldChar w:fldCharType="begin"/>
        </w:r>
        <w:r w:rsidR="00117050">
          <w:rPr>
            <w:noProof/>
            <w:webHidden/>
          </w:rPr>
          <w:instrText xml:space="preserve"> PAGEREF _Toc523069461 \h </w:instrText>
        </w:r>
        <w:r w:rsidR="00117050">
          <w:rPr>
            <w:noProof/>
            <w:webHidden/>
          </w:rPr>
        </w:r>
        <w:r w:rsidR="00117050">
          <w:rPr>
            <w:noProof/>
            <w:webHidden/>
          </w:rPr>
          <w:fldChar w:fldCharType="separate"/>
        </w:r>
        <w:r w:rsidR="004E0C62">
          <w:rPr>
            <w:noProof/>
            <w:webHidden/>
          </w:rPr>
          <w:t>12</w:t>
        </w:r>
        <w:r w:rsidR="00117050">
          <w:rPr>
            <w:noProof/>
            <w:webHidden/>
          </w:rPr>
          <w:fldChar w:fldCharType="end"/>
        </w:r>
      </w:hyperlink>
    </w:p>
    <w:p w14:paraId="103C3A6D" w14:textId="2C889359" w:rsidR="00117050" w:rsidRDefault="00F20779">
      <w:pPr>
        <w:pStyle w:val="TOC1"/>
        <w:rPr>
          <w:rFonts w:asciiTheme="minorHAnsi" w:eastAsiaTheme="minorEastAsia" w:hAnsiTheme="minorHAnsi" w:cstheme="minorBidi"/>
          <w:caps w:val="0"/>
          <w:sz w:val="22"/>
          <w:szCs w:val="22"/>
          <w:lang w:val="en-GB" w:eastAsia="en-GB"/>
        </w:rPr>
      </w:pPr>
      <w:hyperlink w:anchor="_Toc523069462" w:history="1">
        <w:r w:rsidR="00117050" w:rsidRPr="00F901B3">
          <w:rPr>
            <w:rStyle w:val="Hyperlink"/>
          </w:rPr>
          <w:t>ANNEX D: Workshop Presentation</w:t>
        </w:r>
        <w:r w:rsidR="00117050">
          <w:rPr>
            <w:webHidden/>
          </w:rPr>
          <w:tab/>
        </w:r>
        <w:r w:rsidR="00117050">
          <w:rPr>
            <w:webHidden/>
          </w:rPr>
          <w:fldChar w:fldCharType="begin"/>
        </w:r>
        <w:r w:rsidR="00117050">
          <w:rPr>
            <w:webHidden/>
          </w:rPr>
          <w:instrText xml:space="preserve"> PAGEREF _Toc523069462 \h </w:instrText>
        </w:r>
        <w:r w:rsidR="00117050">
          <w:rPr>
            <w:webHidden/>
          </w:rPr>
        </w:r>
        <w:r w:rsidR="00117050">
          <w:rPr>
            <w:webHidden/>
          </w:rPr>
          <w:fldChar w:fldCharType="separate"/>
        </w:r>
        <w:r w:rsidR="004E0C62">
          <w:rPr>
            <w:webHidden/>
          </w:rPr>
          <w:t>15</w:t>
        </w:r>
        <w:r w:rsidR="00117050">
          <w:rPr>
            <w:webHidden/>
          </w:rPr>
          <w:fldChar w:fldCharType="end"/>
        </w:r>
      </w:hyperlink>
    </w:p>
    <w:p w14:paraId="719A3047" w14:textId="59680C3A" w:rsidR="00117050" w:rsidRDefault="00F20779">
      <w:pPr>
        <w:pStyle w:val="TOC1"/>
        <w:rPr>
          <w:rFonts w:asciiTheme="minorHAnsi" w:eastAsiaTheme="minorEastAsia" w:hAnsiTheme="minorHAnsi" w:cstheme="minorBidi"/>
          <w:caps w:val="0"/>
          <w:sz w:val="22"/>
          <w:szCs w:val="22"/>
          <w:lang w:val="en-GB" w:eastAsia="en-GB"/>
        </w:rPr>
      </w:pPr>
      <w:hyperlink w:anchor="_Toc523069463" w:history="1">
        <w:r w:rsidR="00117050" w:rsidRPr="00F901B3">
          <w:rPr>
            <w:rStyle w:val="Hyperlink"/>
          </w:rPr>
          <w:t>Annex E: Cash Buffer presentation</w:t>
        </w:r>
        <w:r w:rsidR="00117050">
          <w:rPr>
            <w:webHidden/>
          </w:rPr>
          <w:tab/>
        </w:r>
        <w:r w:rsidR="00117050">
          <w:rPr>
            <w:webHidden/>
          </w:rPr>
          <w:fldChar w:fldCharType="begin"/>
        </w:r>
        <w:r w:rsidR="00117050">
          <w:rPr>
            <w:webHidden/>
          </w:rPr>
          <w:instrText xml:space="preserve"> PAGEREF _Toc523069463 \h </w:instrText>
        </w:r>
        <w:r w:rsidR="00117050">
          <w:rPr>
            <w:webHidden/>
          </w:rPr>
        </w:r>
        <w:r w:rsidR="00117050">
          <w:rPr>
            <w:webHidden/>
          </w:rPr>
          <w:fldChar w:fldCharType="separate"/>
        </w:r>
        <w:r w:rsidR="004E0C62">
          <w:rPr>
            <w:webHidden/>
          </w:rPr>
          <w:t>26</w:t>
        </w:r>
        <w:r w:rsidR="00117050">
          <w:rPr>
            <w:webHidden/>
          </w:rPr>
          <w:fldChar w:fldCharType="end"/>
        </w:r>
      </w:hyperlink>
    </w:p>
    <w:p w14:paraId="3DD86F9E" w14:textId="7160E8E8" w:rsidR="00722174" w:rsidRPr="002D45EF" w:rsidRDefault="004D3946" w:rsidP="00073667">
      <w:pPr>
        <w:spacing w:line="360" w:lineRule="auto"/>
        <w:jc w:val="center"/>
        <w:rPr>
          <w:rFonts w:cs="Arial"/>
          <w:b/>
          <w:sz w:val="24"/>
          <w:szCs w:val="24"/>
        </w:rPr>
      </w:pPr>
      <w:r w:rsidRPr="002D45EF">
        <w:rPr>
          <w:rFonts w:cs="Arial"/>
          <w:b/>
          <w:sz w:val="24"/>
          <w:szCs w:val="24"/>
        </w:rPr>
        <w:fldChar w:fldCharType="end"/>
      </w:r>
      <w:bookmarkEnd w:id="3"/>
    </w:p>
    <w:p w14:paraId="231558D4" w14:textId="77777777" w:rsidR="00193B92" w:rsidRPr="002D45EF" w:rsidRDefault="00193B92" w:rsidP="00193B92">
      <w:pPr>
        <w:rPr>
          <w:rFonts w:cs="Arial"/>
          <w:b/>
          <w:sz w:val="24"/>
          <w:szCs w:val="24"/>
        </w:rPr>
        <w:sectPr w:rsidR="00193B92" w:rsidRPr="002D45EF" w:rsidSect="00D84E07">
          <w:pgSz w:w="12240" w:h="15840"/>
          <w:pgMar w:top="1440" w:right="1440" w:bottom="1440" w:left="1440" w:header="720" w:footer="720" w:gutter="0"/>
          <w:pgNumType w:fmt="lowerRoman" w:start="1"/>
          <w:cols w:space="720"/>
          <w:titlePg/>
          <w:docGrid w:linePitch="360"/>
        </w:sectPr>
      </w:pPr>
    </w:p>
    <w:p w14:paraId="0067C854" w14:textId="2D6D00CB" w:rsidR="005C2D03" w:rsidRPr="002D45EF" w:rsidRDefault="00905617" w:rsidP="00F25F03">
      <w:pPr>
        <w:pStyle w:val="Topic1"/>
        <w:numPr>
          <w:ilvl w:val="0"/>
          <w:numId w:val="0"/>
        </w:numPr>
        <w:ind w:left="284"/>
      </w:pPr>
      <w:bookmarkStart w:id="4" w:name="_Toc523069452"/>
      <w:r>
        <w:lastRenderedPageBreak/>
        <w:t>Cash Management: the Workplan</w:t>
      </w:r>
      <w:bookmarkEnd w:id="4"/>
    </w:p>
    <w:p w14:paraId="1C587088" w14:textId="4523D348" w:rsidR="007D7D65" w:rsidRPr="009246B9" w:rsidRDefault="00905617" w:rsidP="005E09E7">
      <w:pPr>
        <w:pStyle w:val="Topic2"/>
      </w:pPr>
      <w:bookmarkStart w:id="5" w:name="_Toc523069453"/>
      <w:r>
        <w:t>This Report</w:t>
      </w:r>
      <w:bookmarkEnd w:id="5"/>
    </w:p>
    <w:p w14:paraId="09F66066" w14:textId="71B84C2C" w:rsidR="002F5F5E" w:rsidRPr="002F5F5E" w:rsidRDefault="007D7D65" w:rsidP="002F5F5E">
      <w:pPr>
        <w:pStyle w:val="ListParagraph"/>
        <w:numPr>
          <w:ilvl w:val="0"/>
          <w:numId w:val="3"/>
        </w:numPr>
        <w:ind w:left="357" w:hanging="357"/>
        <w:jc w:val="both"/>
        <w:rPr>
          <w:rFonts w:cs="Arial"/>
        </w:rPr>
      </w:pPr>
      <w:r w:rsidRPr="002F5F5E">
        <w:rPr>
          <w:rFonts w:cs="Arial"/>
        </w:rPr>
        <w:t>The Asian Development Bank (ADB) is supporting the Government of the Republic of Armenia (Government) with a Technical Assistance (TA) Program SC 111018 ARM on Liquidity Management as part of its Public Efficiency and Financial Markets Program.</w:t>
      </w:r>
      <w:r w:rsidR="002F5F5E" w:rsidRPr="002F5F5E">
        <w:rPr>
          <w:rFonts w:cs="Arial"/>
        </w:rPr>
        <w:t xml:space="preserve">  </w:t>
      </w:r>
      <w:r w:rsidR="009F10A0">
        <w:rPr>
          <w:rFonts w:cs="Arial"/>
        </w:rPr>
        <w:t>Under this program,</w:t>
      </w:r>
      <w:r w:rsidR="002F5F5E" w:rsidRPr="002F5F5E">
        <w:rPr>
          <w:rFonts w:cs="Arial"/>
        </w:rPr>
        <w:t xml:space="preserve"> the Ministry of Finance (MoF) is committed to submit to the ADB a time-bound action plan to improve the cash management framework. </w:t>
      </w:r>
    </w:p>
    <w:p w14:paraId="10D49A2C" w14:textId="089059F1" w:rsidR="002F5F5E" w:rsidRDefault="002F5F5E" w:rsidP="002F5F5E">
      <w:pPr>
        <w:pStyle w:val="ListParagraph"/>
        <w:numPr>
          <w:ilvl w:val="0"/>
          <w:numId w:val="3"/>
        </w:numPr>
        <w:ind w:left="357" w:hanging="357"/>
        <w:rPr>
          <w:rFonts w:cs="Arial"/>
        </w:rPr>
      </w:pPr>
      <w:r w:rsidRPr="002F5F5E">
        <w:rPr>
          <w:rFonts w:cs="Arial"/>
        </w:rPr>
        <w:t>A</w:t>
      </w:r>
      <w:r w:rsidR="00A0066F" w:rsidRPr="002F5F5E">
        <w:rPr>
          <w:rFonts w:cs="Arial"/>
        </w:rPr>
        <w:t xml:space="preserve">gainst this background, the consultant visited Yerevan from July 11-17, 2018, </w:t>
      </w:r>
      <w:r w:rsidRPr="002F5F5E">
        <w:rPr>
          <w:rFonts w:cs="Arial"/>
        </w:rPr>
        <w:t>and from August 20-24, 2018.  Following his first visit, he prepared a report</w:t>
      </w:r>
      <w:r w:rsidR="00FD0295">
        <w:rPr>
          <w:rStyle w:val="FootnoteReference"/>
          <w:rFonts w:cs="Arial"/>
        </w:rPr>
        <w:footnoteReference w:id="1"/>
      </w:r>
      <w:r w:rsidRPr="002F5F5E">
        <w:rPr>
          <w:rFonts w:cs="Arial"/>
        </w:rPr>
        <w:t xml:space="preserve"> discussing the current arrangements against the three pillars of modern cash management: the development of the TSA; cash flow forecasting to support the budget execution processes and to ensure that liquidity is available when required; and more active cash management that aims to smooth cash flows across the TSA.  </w:t>
      </w:r>
      <w:r>
        <w:rPr>
          <w:rFonts w:cs="Arial"/>
        </w:rPr>
        <w:t>That report made a number of</w:t>
      </w:r>
      <w:r w:rsidRPr="002F5F5E">
        <w:rPr>
          <w:rFonts w:cs="Arial"/>
        </w:rPr>
        <w:t xml:space="preserve"> recommendations</w:t>
      </w:r>
      <w:r>
        <w:rPr>
          <w:rFonts w:cs="Arial"/>
        </w:rPr>
        <w:t>,</w:t>
      </w:r>
      <w:r w:rsidRPr="002F5F5E">
        <w:rPr>
          <w:rFonts w:cs="Arial"/>
        </w:rPr>
        <w:t xml:space="preserve"> summarized </w:t>
      </w:r>
      <w:r>
        <w:rPr>
          <w:rFonts w:cs="Arial"/>
        </w:rPr>
        <w:t>at Annex A of this report</w:t>
      </w:r>
      <w:r w:rsidRPr="002F5F5E">
        <w:rPr>
          <w:rFonts w:cs="Arial"/>
        </w:rPr>
        <w:t xml:space="preserve">.  </w:t>
      </w:r>
    </w:p>
    <w:p w14:paraId="0C013565" w14:textId="3B1CAB2B" w:rsidR="00FD0295" w:rsidRDefault="002F5F5E" w:rsidP="00FD0295">
      <w:pPr>
        <w:pStyle w:val="ListParagraph"/>
        <w:numPr>
          <w:ilvl w:val="0"/>
          <w:numId w:val="3"/>
        </w:numPr>
        <w:rPr>
          <w:rFonts w:cs="Arial"/>
        </w:rPr>
      </w:pPr>
      <w:r>
        <w:rPr>
          <w:rFonts w:cs="Arial"/>
        </w:rPr>
        <w:t xml:space="preserve">The consultant’s first report was explicitly identified as an interim report, with </w:t>
      </w:r>
      <w:r w:rsidRPr="002F5F5E">
        <w:rPr>
          <w:rFonts w:cs="Arial"/>
        </w:rPr>
        <w:t xml:space="preserve">recommendations </w:t>
      </w:r>
      <w:r>
        <w:rPr>
          <w:rFonts w:cs="Arial"/>
        </w:rPr>
        <w:t xml:space="preserve">that would </w:t>
      </w:r>
      <w:r w:rsidRPr="002F5F5E">
        <w:rPr>
          <w:rFonts w:cs="Arial"/>
        </w:rPr>
        <w:t xml:space="preserve">need to be reviewed and elaborated in further work.  </w:t>
      </w:r>
      <w:r>
        <w:rPr>
          <w:rFonts w:cs="Arial"/>
        </w:rPr>
        <w:t xml:space="preserve">This report covers this further work. </w:t>
      </w:r>
      <w:r w:rsidR="00FD0295">
        <w:rPr>
          <w:rFonts w:cs="Arial"/>
        </w:rPr>
        <w:t xml:space="preserve"> It has been based</w:t>
      </w:r>
      <w:r w:rsidR="00C66E99">
        <w:rPr>
          <w:rFonts w:cs="Arial"/>
        </w:rPr>
        <w:t xml:space="preserve"> in large part</w:t>
      </w:r>
      <w:r w:rsidR="00FD0295">
        <w:rPr>
          <w:rFonts w:cs="Arial"/>
        </w:rPr>
        <w:t xml:space="preserve"> on discussions with </w:t>
      </w:r>
      <w:r w:rsidR="00FD0295" w:rsidRPr="00FD0295">
        <w:rPr>
          <w:rFonts w:cs="Arial"/>
        </w:rPr>
        <w:t>Mr Artur Hambardzumyan</w:t>
      </w:r>
      <w:r w:rsidR="00FD0295">
        <w:rPr>
          <w:rFonts w:cs="Arial"/>
        </w:rPr>
        <w:t xml:space="preserve">, </w:t>
      </w:r>
      <w:r w:rsidR="00FD0295" w:rsidRPr="00FD0295">
        <w:rPr>
          <w:rFonts w:cs="Arial"/>
        </w:rPr>
        <w:t xml:space="preserve">Head of Strategy and Risk Management Division </w:t>
      </w:r>
      <w:r w:rsidR="00FD0295">
        <w:rPr>
          <w:rFonts w:cs="Arial"/>
        </w:rPr>
        <w:t xml:space="preserve">in the Public Debt Management Department (PDMD), and with others in the PDMD.  The consultant also met </w:t>
      </w:r>
      <w:r w:rsidR="00FD0295" w:rsidRPr="00FD0295">
        <w:rPr>
          <w:rFonts w:cs="Arial"/>
        </w:rPr>
        <w:t>with Mr Arshaluys Margaryan, Director</w:t>
      </w:r>
      <w:r w:rsidR="00FD0295">
        <w:rPr>
          <w:rFonts w:cs="Arial"/>
        </w:rPr>
        <w:t xml:space="preserve"> PDMD.</w:t>
      </w:r>
    </w:p>
    <w:p w14:paraId="23034DFC" w14:textId="72D62AED" w:rsidR="00C66E99" w:rsidRDefault="00C66E99" w:rsidP="002F5F5E">
      <w:pPr>
        <w:pStyle w:val="ListParagraph"/>
        <w:numPr>
          <w:ilvl w:val="0"/>
          <w:numId w:val="3"/>
        </w:numPr>
        <w:ind w:left="357" w:hanging="357"/>
        <w:rPr>
          <w:rFonts w:cs="Arial"/>
        </w:rPr>
      </w:pPr>
      <w:r>
        <w:rPr>
          <w:rFonts w:cs="Arial"/>
        </w:rPr>
        <w:t xml:space="preserve">The outcome of this further work is a </w:t>
      </w:r>
      <w:r w:rsidR="009F10A0">
        <w:rPr>
          <w:rFonts w:cs="Arial"/>
        </w:rPr>
        <w:t xml:space="preserve">proposed </w:t>
      </w:r>
      <w:r>
        <w:rPr>
          <w:rFonts w:cs="Arial"/>
        </w:rPr>
        <w:t xml:space="preserve">workplan, which includes more specific proposals under each of the previous recommendations, also identifying deliverables.  That is attached at Annex B.  </w:t>
      </w:r>
      <w:r w:rsidR="00905617">
        <w:rPr>
          <w:rFonts w:cs="Arial"/>
        </w:rPr>
        <w:t xml:space="preserve">The PDMD will discuss with the ADB how this workplan </w:t>
      </w:r>
      <w:r w:rsidR="009F10A0">
        <w:rPr>
          <w:rFonts w:cs="Arial"/>
        </w:rPr>
        <w:t>will support</w:t>
      </w:r>
      <w:r w:rsidR="00905617">
        <w:rPr>
          <w:rFonts w:cs="Arial"/>
        </w:rPr>
        <w:t xml:space="preserve"> further improvement in the cash management framework in line with </w:t>
      </w:r>
      <w:r w:rsidR="009F10A0">
        <w:rPr>
          <w:rFonts w:cs="Arial"/>
        </w:rPr>
        <w:t>the MoF’s</w:t>
      </w:r>
      <w:r w:rsidR="00905617">
        <w:rPr>
          <w:rFonts w:cs="Arial"/>
        </w:rPr>
        <w:t xml:space="preserve"> commitments. </w:t>
      </w:r>
    </w:p>
    <w:p w14:paraId="72387C17" w14:textId="6172B207" w:rsidR="00FD0295" w:rsidRDefault="00C66E99" w:rsidP="00D4178F">
      <w:pPr>
        <w:pStyle w:val="ListParagraph"/>
        <w:numPr>
          <w:ilvl w:val="0"/>
          <w:numId w:val="3"/>
        </w:numPr>
        <w:rPr>
          <w:rFonts w:cs="Arial"/>
        </w:rPr>
      </w:pPr>
      <w:r>
        <w:rPr>
          <w:rFonts w:cs="Arial"/>
        </w:rPr>
        <w:t>This report does not repeat the policy discussions set out at some length in the interim report.  Instead it focusses on how the recommendations can best be taken forward in practice, i.e. the workplan.  However, in developing this workplan,</w:t>
      </w:r>
      <w:r w:rsidR="006440BB">
        <w:rPr>
          <w:rFonts w:cs="Arial"/>
        </w:rPr>
        <w:t xml:space="preserve"> some of</w:t>
      </w:r>
      <w:r>
        <w:rPr>
          <w:rFonts w:cs="Arial"/>
        </w:rPr>
        <w:t xml:space="preserve"> the previous recommendations </w:t>
      </w:r>
      <w:r w:rsidR="009F10A0">
        <w:rPr>
          <w:rFonts w:cs="Arial"/>
        </w:rPr>
        <w:t>have been</w:t>
      </w:r>
      <w:r>
        <w:rPr>
          <w:rFonts w:cs="Arial"/>
        </w:rPr>
        <w:t xml:space="preserve"> modified somewhat, or it became clear that they could be taken forward only in part or to a somewhat different timetable</w:t>
      </w:r>
      <w:r w:rsidR="00577D79">
        <w:rPr>
          <w:rFonts w:cs="Arial"/>
        </w:rPr>
        <w:t xml:space="preserve"> (recognizing also that the fourth quarter of the year will be busy with the budget preparations)</w:t>
      </w:r>
      <w:r>
        <w:rPr>
          <w:rFonts w:cs="Arial"/>
        </w:rPr>
        <w:t xml:space="preserve">.  Some prioritization </w:t>
      </w:r>
      <w:r w:rsidR="009F10A0">
        <w:rPr>
          <w:rFonts w:cs="Arial"/>
        </w:rPr>
        <w:t>has also</w:t>
      </w:r>
      <w:r>
        <w:rPr>
          <w:rFonts w:cs="Arial"/>
        </w:rPr>
        <w:t xml:space="preserve"> </w:t>
      </w:r>
      <w:r w:rsidR="009F10A0">
        <w:rPr>
          <w:rFonts w:cs="Arial"/>
        </w:rPr>
        <w:t>been incorporated</w:t>
      </w:r>
      <w:r>
        <w:rPr>
          <w:rFonts w:cs="Arial"/>
        </w:rPr>
        <w:t>.  Where the recommendations have been shaded or developed, the relevant consider</w:t>
      </w:r>
      <w:r w:rsidR="006440BB">
        <w:rPr>
          <w:rFonts w:cs="Arial"/>
        </w:rPr>
        <w:t xml:space="preserve">ations are recorded here in Annex </w:t>
      </w:r>
      <w:r w:rsidR="009F10A0">
        <w:rPr>
          <w:rFonts w:cs="Arial"/>
        </w:rPr>
        <w:t>C</w:t>
      </w:r>
      <w:r w:rsidR="006440BB">
        <w:rPr>
          <w:rFonts w:cs="Arial"/>
        </w:rPr>
        <w:t>, which thus provides the link between the previous recommendations, summarized in Annex A</w:t>
      </w:r>
      <w:r w:rsidR="00905617">
        <w:rPr>
          <w:rFonts w:cs="Arial"/>
        </w:rPr>
        <w:t>,</w:t>
      </w:r>
      <w:r w:rsidR="006440BB">
        <w:rPr>
          <w:rFonts w:cs="Arial"/>
        </w:rPr>
        <w:t xml:space="preserve"> and the </w:t>
      </w:r>
      <w:r w:rsidR="009F10A0">
        <w:rPr>
          <w:rFonts w:cs="Arial"/>
        </w:rPr>
        <w:t xml:space="preserve">proposed </w:t>
      </w:r>
      <w:r w:rsidR="006440BB">
        <w:rPr>
          <w:rFonts w:cs="Arial"/>
        </w:rPr>
        <w:t>workplan in Annex B.</w:t>
      </w:r>
      <w:r>
        <w:rPr>
          <w:rFonts w:cs="Arial"/>
        </w:rPr>
        <w:t xml:space="preserve"> </w:t>
      </w:r>
      <w:r w:rsidR="00D4178F">
        <w:rPr>
          <w:rFonts w:cs="Arial"/>
        </w:rPr>
        <w:t xml:space="preserve"> It should be noted that the final </w:t>
      </w:r>
      <w:r w:rsidR="00D4178F" w:rsidRPr="00D4178F">
        <w:rPr>
          <w:rFonts w:cs="Arial"/>
        </w:rPr>
        <w:t>workplan represents the consultant’s recommendations, albeit ones dr</w:t>
      </w:r>
      <w:r w:rsidR="00AE3AC0">
        <w:rPr>
          <w:rFonts w:cs="Arial"/>
        </w:rPr>
        <w:t>a</w:t>
      </w:r>
      <w:r w:rsidR="00D4178F" w:rsidRPr="00D4178F">
        <w:rPr>
          <w:rFonts w:cs="Arial"/>
        </w:rPr>
        <w:t>wn up on consultation with the PDMD</w:t>
      </w:r>
      <w:r w:rsidR="00D4178F">
        <w:rPr>
          <w:rFonts w:cs="Arial"/>
        </w:rPr>
        <w:t>; they are put forward without prejudice to the MoF’s/PDMD’s formal right to propose amendments in its discussions with the ADB.</w:t>
      </w:r>
    </w:p>
    <w:p w14:paraId="24A3505A" w14:textId="12D6BB68" w:rsidR="002F5F5E" w:rsidRDefault="00905617" w:rsidP="002F5F5E">
      <w:pPr>
        <w:pStyle w:val="ListParagraph"/>
        <w:numPr>
          <w:ilvl w:val="0"/>
          <w:numId w:val="3"/>
        </w:numPr>
        <w:ind w:left="357" w:hanging="357"/>
        <w:rPr>
          <w:rFonts w:cs="Arial"/>
        </w:rPr>
      </w:pPr>
      <w:r>
        <w:rPr>
          <w:rFonts w:cs="Arial"/>
        </w:rPr>
        <w:lastRenderedPageBreak/>
        <w:t>During the consultant’s visit, he also facilitated a half-day workshop on government cash management, for a range of officials in the MoF, setting out</w:t>
      </w:r>
      <w:r w:rsidR="002F5F5E">
        <w:rPr>
          <w:rFonts w:cs="Arial"/>
        </w:rPr>
        <w:t xml:space="preserve"> </w:t>
      </w:r>
      <w:r>
        <w:rPr>
          <w:rFonts w:cs="Arial"/>
        </w:rPr>
        <w:t>both international best practice and some of the implications arising in Armenia.</w:t>
      </w:r>
      <w:r w:rsidR="002F5F5E">
        <w:rPr>
          <w:rFonts w:cs="Arial"/>
        </w:rPr>
        <w:t xml:space="preserve"> </w:t>
      </w:r>
      <w:r>
        <w:rPr>
          <w:rFonts w:cs="Arial"/>
        </w:rPr>
        <w:t xml:space="preserve"> The consultant’s slides are attached as Annex D.  </w:t>
      </w:r>
      <w:r w:rsidR="009F10A0">
        <w:rPr>
          <w:rFonts w:cs="Arial"/>
        </w:rPr>
        <w:t>He</w:t>
      </w:r>
      <w:r>
        <w:rPr>
          <w:rFonts w:cs="Arial"/>
        </w:rPr>
        <w:t xml:space="preserve"> also </w:t>
      </w:r>
      <w:proofErr w:type="gramStart"/>
      <w:r>
        <w:rPr>
          <w:rFonts w:cs="Arial"/>
        </w:rPr>
        <w:t>give</w:t>
      </w:r>
      <w:proofErr w:type="gramEnd"/>
      <w:r>
        <w:rPr>
          <w:rFonts w:cs="Arial"/>
        </w:rPr>
        <w:t xml:space="preserve"> a presentation to a small group in PDMD on the calculation of a target cash buffer</w:t>
      </w:r>
      <w:r w:rsidR="002F5F5E" w:rsidRPr="002F5F5E">
        <w:rPr>
          <w:rFonts w:cs="Arial"/>
        </w:rPr>
        <w:t xml:space="preserve">. </w:t>
      </w:r>
      <w:r>
        <w:rPr>
          <w:rFonts w:cs="Arial"/>
        </w:rPr>
        <w:t xml:space="preserve"> The slides are at Annex E.</w:t>
      </w:r>
      <w:r w:rsidR="00E80090">
        <w:rPr>
          <w:rStyle w:val="FootnoteReference"/>
          <w:rFonts w:cs="Arial"/>
        </w:rPr>
        <w:footnoteReference w:id="2"/>
      </w:r>
    </w:p>
    <w:p w14:paraId="7556DEEB" w14:textId="09AD5E13" w:rsidR="00F45209" w:rsidRDefault="00F45209" w:rsidP="00F45209">
      <w:pPr>
        <w:pStyle w:val="ListParagraph"/>
        <w:numPr>
          <w:ilvl w:val="0"/>
          <w:numId w:val="3"/>
        </w:numPr>
        <w:rPr>
          <w:rFonts w:cs="Arial"/>
        </w:rPr>
      </w:pPr>
      <w:r>
        <w:rPr>
          <w:rFonts w:cs="Arial"/>
        </w:rPr>
        <w:t>As before, t</w:t>
      </w:r>
      <w:r w:rsidRPr="00F45209">
        <w:rPr>
          <w:rFonts w:cs="Arial"/>
        </w:rPr>
        <w:t>he consultant would like to thank all those with whom he met for the useful and constructive discussions; and in particular Mr Hambardzumyan and his team</w:t>
      </w:r>
      <w:r>
        <w:rPr>
          <w:rFonts w:cs="Arial"/>
        </w:rPr>
        <w:t>.</w:t>
      </w:r>
    </w:p>
    <w:p w14:paraId="1F79A200" w14:textId="43299BAC" w:rsidR="00905617" w:rsidRPr="002F5F5E" w:rsidRDefault="00905617" w:rsidP="005E09E7">
      <w:pPr>
        <w:pStyle w:val="Topic2"/>
      </w:pPr>
      <w:bookmarkStart w:id="6" w:name="_Toc523069454"/>
      <w:r>
        <w:t>Conclusion</w:t>
      </w:r>
      <w:bookmarkEnd w:id="6"/>
    </w:p>
    <w:p w14:paraId="2911F28B" w14:textId="11538F8B" w:rsidR="00905617" w:rsidRDefault="00905617" w:rsidP="00225AC5">
      <w:pPr>
        <w:pStyle w:val="ListParagraph"/>
        <w:numPr>
          <w:ilvl w:val="0"/>
          <w:numId w:val="3"/>
        </w:numPr>
        <w:jc w:val="both"/>
        <w:rPr>
          <w:rFonts w:cs="Arial"/>
        </w:rPr>
      </w:pPr>
      <w:r w:rsidRPr="00905617">
        <w:rPr>
          <w:rFonts w:cs="Arial"/>
        </w:rPr>
        <w:t xml:space="preserve">As previously reported, the Government of Armenia has made considerable progress in developing the cash management function.  A modern Treasury Single Account (TSA) has been established; and a substantial cash flow forecasting infrastructure is in place.  The PDMD has been able to ensure that cash is available to meet the MoF’s commitments without any recourse to cash rationing – the first objective of any cash manager.  However, cash management is still somewhat passive, and more attention could be given to cost-effectiveness, and the interaction between cash management and other financial policies.  </w:t>
      </w:r>
    </w:p>
    <w:p w14:paraId="6F2FD6B2" w14:textId="7ED934C1" w:rsidR="00577D79" w:rsidRDefault="00905617" w:rsidP="00225AC5">
      <w:pPr>
        <w:pStyle w:val="ListParagraph"/>
        <w:numPr>
          <w:ilvl w:val="0"/>
          <w:numId w:val="3"/>
        </w:numPr>
        <w:jc w:val="both"/>
        <w:rPr>
          <w:rFonts w:cs="Arial"/>
        </w:rPr>
      </w:pPr>
      <w:r>
        <w:rPr>
          <w:rFonts w:cs="Arial"/>
        </w:rPr>
        <w:t>The</w:t>
      </w:r>
      <w:r w:rsidR="009F10A0">
        <w:rPr>
          <w:rFonts w:cs="Arial"/>
        </w:rPr>
        <w:t xml:space="preserve"> proposed</w:t>
      </w:r>
      <w:r>
        <w:rPr>
          <w:rFonts w:cs="Arial"/>
        </w:rPr>
        <w:t xml:space="preserve"> workplan</w:t>
      </w:r>
      <w:r w:rsidR="009F10A0">
        <w:rPr>
          <w:rFonts w:cs="Arial"/>
        </w:rPr>
        <w:t xml:space="preserve"> at Annex B</w:t>
      </w:r>
      <w:r>
        <w:rPr>
          <w:rFonts w:cs="Arial"/>
        </w:rPr>
        <w:t xml:space="preserve"> elaborates that </w:t>
      </w:r>
      <w:r w:rsidR="009322CA">
        <w:rPr>
          <w:rFonts w:cs="Arial"/>
        </w:rPr>
        <w:t xml:space="preserve">general recommendation. </w:t>
      </w:r>
      <w:r w:rsidR="009F10A0">
        <w:rPr>
          <w:rFonts w:cs="Arial"/>
        </w:rPr>
        <w:t xml:space="preserve"> Armenia is arguabl</w:t>
      </w:r>
      <w:r w:rsidR="00F45209">
        <w:rPr>
          <w:rFonts w:cs="Arial"/>
        </w:rPr>
        <w:t>y</w:t>
      </w:r>
      <w:r w:rsidR="009F10A0">
        <w:rPr>
          <w:rFonts w:cs="Arial"/>
        </w:rPr>
        <w:t xml:space="preserve"> already </w:t>
      </w:r>
      <w:r w:rsidR="00F45209">
        <w:rPr>
          <w:rFonts w:cs="Arial"/>
        </w:rPr>
        <w:t xml:space="preserve">one of </w:t>
      </w:r>
      <w:r w:rsidR="009F10A0">
        <w:rPr>
          <w:rFonts w:cs="Arial"/>
        </w:rPr>
        <w:t xml:space="preserve">the best among its peer group.  </w:t>
      </w:r>
      <w:r w:rsidR="00F45209">
        <w:rPr>
          <w:rFonts w:cs="Arial"/>
        </w:rPr>
        <w:t xml:space="preserve">Achievement of the further recommended improvements would take it still closer to best international practice and, moreover, put it in a stronger position to cope with future challenges when it may no longer have the luxury of </w:t>
      </w:r>
      <w:r w:rsidR="00AE3AC0">
        <w:rPr>
          <w:rFonts w:cs="Arial"/>
        </w:rPr>
        <w:t>a substantial cash buffer</w:t>
      </w:r>
      <w:r w:rsidR="00F45209">
        <w:rPr>
          <w:rFonts w:cs="Arial"/>
        </w:rPr>
        <w:t>.</w:t>
      </w:r>
    </w:p>
    <w:p w14:paraId="3E5F6C30" w14:textId="77777777" w:rsidR="00577D79" w:rsidRDefault="00577D79">
      <w:pPr>
        <w:rPr>
          <w:rFonts w:cs="Arial"/>
        </w:rPr>
      </w:pPr>
      <w:r>
        <w:rPr>
          <w:rFonts w:cs="Arial"/>
        </w:rPr>
        <w:br w:type="page"/>
      </w:r>
    </w:p>
    <w:p w14:paraId="405F04B9" w14:textId="28E94831" w:rsidR="00A73FA7" w:rsidRPr="002D45EF" w:rsidRDefault="00A73FA7" w:rsidP="00A0066F">
      <w:pPr>
        <w:pStyle w:val="Topic1"/>
        <w:numPr>
          <w:ilvl w:val="0"/>
          <w:numId w:val="0"/>
        </w:numPr>
      </w:pPr>
      <w:bookmarkStart w:id="7" w:name="_Toc523069455"/>
      <w:r w:rsidRPr="002D45EF">
        <w:lastRenderedPageBreak/>
        <w:t xml:space="preserve">Annex A. </w:t>
      </w:r>
      <w:r w:rsidR="00FD0295">
        <w:t>Interim Report: Summary of recommedations</w:t>
      </w:r>
      <w:bookmarkEnd w:id="7"/>
    </w:p>
    <w:p w14:paraId="2FCE7808" w14:textId="59E92F22" w:rsidR="00FD0295" w:rsidRDefault="00C66E99" w:rsidP="00FD0295">
      <w:pPr>
        <w:pStyle w:val="ParagraphNumbering"/>
        <w:numPr>
          <w:ilvl w:val="0"/>
          <w:numId w:val="0"/>
        </w:numPr>
        <w:rPr>
          <w:rFonts w:cs="Arial"/>
        </w:rPr>
      </w:pPr>
      <w:r>
        <w:rPr>
          <w:rFonts w:cs="Arial"/>
        </w:rPr>
        <w:t>This summary was included at the end of Executive Summary of the Interim Report.  That report included a more extensive discussion of each of the recommendations.</w:t>
      </w:r>
    </w:p>
    <w:tbl>
      <w:tblPr>
        <w:tblStyle w:val="TableGrid"/>
        <w:tblW w:w="0" w:type="auto"/>
        <w:tblLook w:val="04A0" w:firstRow="1" w:lastRow="0" w:firstColumn="1" w:lastColumn="0" w:noHBand="0" w:noVBand="1"/>
      </w:tblPr>
      <w:tblGrid>
        <w:gridCol w:w="1439"/>
        <w:gridCol w:w="3971"/>
        <w:gridCol w:w="3940"/>
      </w:tblGrid>
      <w:tr w:rsidR="00FD0295" w:rsidRPr="002D45EF" w14:paraId="48F556B2" w14:textId="77777777" w:rsidTr="006440BB">
        <w:tc>
          <w:tcPr>
            <w:tcW w:w="9350" w:type="dxa"/>
            <w:gridSpan w:val="3"/>
            <w:tcBorders>
              <w:bottom w:val="single" w:sz="4" w:space="0" w:color="auto"/>
            </w:tcBorders>
            <w:shd w:val="clear" w:color="auto" w:fill="548DD4" w:themeFill="text2" w:themeFillTint="99"/>
          </w:tcPr>
          <w:p w14:paraId="58156CA2" w14:textId="77777777" w:rsidR="00FD0295" w:rsidRPr="002D45EF" w:rsidRDefault="00FD0295" w:rsidP="006440BB">
            <w:pPr>
              <w:spacing w:before="120" w:after="120"/>
              <w:jc w:val="center"/>
              <w:rPr>
                <w:rFonts w:cs="Arial"/>
                <w:b/>
                <w:sz w:val="20"/>
                <w:szCs w:val="20"/>
              </w:rPr>
            </w:pPr>
            <w:r w:rsidRPr="002D45EF">
              <w:rPr>
                <w:rFonts w:cs="Arial"/>
                <w:b/>
                <w:sz w:val="20"/>
                <w:szCs w:val="20"/>
              </w:rPr>
              <w:t>Summary of Recommendations</w:t>
            </w:r>
          </w:p>
        </w:tc>
      </w:tr>
      <w:tr w:rsidR="00FD0295" w:rsidRPr="002D45EF" w14:paraId="5D4CE4AE" w14:textId="77777777" w:rsidTr="006440BB">
        <w:tc>
          <w:tcPr>
            <w:tcW w:w="1439" w:type="dxa"/>
            <w:tcBorders>
              <w:bottom w:val="single" w:sz="4" w:space="0" w:color="auto"/>
            </w:tcBorders>
            <w:shd w:val="clear" w:color="auto" w:fill="B8CCE4" w:themeFill="accent1" w:themeFillTint="66"/>
          </w:tcPr>
          <w:p w14:paraId="070BCE53" w14:textId="77777777" w:rsidR="00FD0295" w:rsidRPr="002D45EF" w:rsidRDefault="00FD0295" w:rsidP="006440BB">
            <w:pPr>
              <w:jc w:val="both"/>
              <w:rPr>
                <w:rFonts w:cs="Arial"/>
                <w:sz w:val="20"/>
                <w:szCs w:val="20"/>
              </w:rPr>
            </w:pPr>
          </w:p>
        </w:tc>
        <w:tc>
          <w:tcPr>
            <w:tcW w:w="3971" w:type="dxa"/>
            <w:shd w:val="clear" w:color="auto" w:fill="B8CCE4" w:themeFill="accent1" w:themeFillTint="66"/>
          </w:tcPr>
          <w:p w14:paraId="6AF6E997" w14:textId="77777777" w:rsidR="00FD0295" w:rsidRPr="002D45EF" w:rsidRDefault="00FD0295" w:rsidP="006440BB">
            <w:pPr>
              <w:spacing w:before="120" w:after="120"/>
              <w:jc w:val="center"/>
              <w:rPr>
                <w:rFonts w:cs="Arial"/>
                <w:b/>
                <w:sz w:val="20"/>
                <w:szCs w:val="20"/>
              </w:rPr>
            </w:pPr>
            <w:r w:rsidRPr="002D45EF">
              <w:rPr>
                <w:rFonts w:cs="Arial"/>
                <w:b/>
                <w:sz w:val="20"/>
                <w:szCs w:val="20"/>
              </w:rPr>
              <w:t xml:space="preserve">Short-term (before end </w:t>
            </w:r>
            <w:r>
              <w:rPr>
                <w:rFonts w:cs="Arial"/>
                <w:b/>
                <w:sz w:val="20"/>
                <w:szCs w:val="20"/>
              </w:rPr>
              <w:t>2</w:t>
            </w:r>
            <w:r w:rsidRPr="002D45EF">
              <w:rPr>
                <w:rFonts w:cs="Arial"/>
                <w:b/>
                <w:sz w:val="20"/>
                <w:szCs w:val="20"/>
              </w:rPr>
              <w:t>018)</w:t>
            </w:r>
          </w:p>
        </w:tc>
        <w:tc>
          <w:tcPr>
            <w:tcW w:w="3940" w:type="dxa"/>
            <w:shd w:val="clear" w:color="auto" w:fill="B8CCE4" w:themeFill="accent1" w:themeFillTint="66"/>
          </w:tcPr>
          <w:p w14:paraId="1D6C42D7" w14:textId="77777777" w:rsidR="00FD0295" w:rsidRPr="002D45EF" w:rsidRDefault="00FD0295" w:rsidP="006440BB">
            <w:pPr>
              <w:spacing w:before="120" w:after="120"/>
              <w:jc w:val="center"/>
              <w:rPr>
                <w:rFonts w:cs="Arial"/>
                <w:b/>
                <w:sz w:val="20"/>
                <w:szCs w:val="20"/>
              </w:rPr>
            </w:pPr>
            <w:r w:rsidRPr="002D45EF">
              <w:rPr>
                <w:rFonts w:cs="Arial"/>
                <w:b/>
                <w:sz w:val="20"/>
                <w:szCs w:val="20"/>
              </w:rPr>
              <w:t>Longer-term (extending beyond 2018)</w:t>
            </w:r>
          </w:p>
        </w:tc>
      </w:tr>
      <w:tr w:rsidR="00FD0295" w:rsidRPr="002D45EF" w14:paraId="621097EA" w14:textId="77777777" w:rsidTr="006440BB">
        <w:tc>
          <w:tcPr>
            <w:tcW w:w="1439" w:type="dxa"/>
            <w:vMerge w:val="restart"/>
            <w:vAlign w:val="center"/>
          </w:tcPr>
          <w:p w14:paraId="69EDD85A" w14:textId="77777777" w:rsidR="00FD0295" w:rsidRPr="002D45EF" w:rsidRDefault="00FD0295" w:rsidP="006440BB">
            <w:pPr>
              <w:spacing w:before="60" w:after="60"/>
              <w:rPr>
                <w:rFonts w:cs="Arial"/>
                <w:b/>
                <w:sz w:val="20"/>
                <w:szCs w:val="20"/>
              </w:rPr>
            </w:pPr>
            <w:r w:rsidRPr="002D45EF">
              <w:rPr>
                <w:rFonts w:cs="Arial"/>
                <w:b/>
                <w:sz w:val="20"/>
                <w:szCs w:val="20"/>
              </w:rPr>
              <w:t>Treasury Single Account</w:t>
            </w:r>
          </w:p>
        </w:tc>
        <w:tc>
          <w:tcPr>
            <w:tcW w:w="3971" w:type="dxa"/>
          </w:tcPr>
          <w:p w14:paraId="6491D92C" w14:textId="77777777" w:rsidR="00FD0295" w:rsidRPr="002D45EF" w:rsidRDefault="00FD0295" w:rsidP="006440BB">
            <w:pPr>
              <w:spacing w:before="60" w:after="60"/>
              <w:rPr>
                <w:rFonts w:cs="Arial"/>
                <w:sz w:val="20"/>
                <w:szCs w:val="20"/>
              </w:rPr>
            </w:pPr>
            <w:r w:rsidRPr="002D45EF">
              <w:rPr>
                <w:rFonts w:cs="Arial"/>
                <w:sz w:val="20"/>
                <w:szCs w:val="20"/>
              </w:rPr>
              <w:t>MoF to review the requirement to balance the state budget account at the end of each year, with a view to drawing more heavily on the balances in the TSA both within the year and across the year end.</w:t>
            </w:r>
          </w:p>
        </w:tc>
        <w:tc>
          <w:tcPr>
            <w:tcW w:w="3940" w:type="dxa"/>
          </w:tcPr>
          <w:p w14:paraId="4A455D14" w14:textId="77777777" w:rsidR="00FD0295" w:rsidRPr="002D45EF" w:rsidRDefault="00FD0295" w:rsidP="006440BB">
            <w:pPr>
              <w:spacing w:before="60" w:after="60"/>
              <w:rPr>
                <w:rFonts w:cs="Arial"/>
                <w:sz w:val="20"/>
                <w:szCs w:val="20"/>
              </w:rPr>
            </w:pPr>
          </w:p>
        </w:tc>
      </w:tr>
      <w:tr w:rsidR="00FD0295" w:rsidRPr="002D45EF" w14:paraId="348F198F" w14:textId="77777777" w:rsidTr="006440BB">
        <w:tc>
          <w:tcPr>
            <w:tcW w:w="1439" w:type="dxa"/>
            <w:vMerge/>
            <w:vAlign w:val="center"/>
          </w:tcPr>
          <w:p w14:paraId="31A0C912" w14:textId="77777777" w:rsidR="00FD0295" w:rsidRPr="002D45EF" w:rsidRDefault="00FD0295" w:rsidP="006440BB">
            <w:pPr>
              <w:spacing w:before="60" w:after="60"/>
              <w:rPr>
                <w:rFonts w:cs="Arial"/>
                <w:b/>
                <w:sz w:val="20"/>
                <w:szCs w:val="20"/>
              </w:rPr>
            </w:pPr>
          </w:p>
        </w:tc>
        <w:tc>
          <w:tcPr>
            <w:tcW w:w="3971" w:type="dxa"/>
          </w:tcPr>
          <w:p w14:paraId="004E81F2" w14:textId="77777777" w:rsidR="00FD0295" w:rsidRPr="002D45EF" w:rsidRDefault="00FD0295" w:rsidP="006440BB">
            <w:pPr>
              <w:spacing w:before="60" w:after="60"/>
              <w:rPr>
                <w:rFonts w:cs="Arial"/>
                <w:sz w:val="20"/>
                <w:szCs w:val="20"/>
              </w:rPr>
            </w:pPr>
            <w:r w:rsidRPr="002D45EF">
              <w:rPr>
                <w:rFonts w:cs="Arial"/>
                <w:sz w:val="20"/>
                <w:szCs w:val="20"/>
              </w:rPr>
              <w:t>PDMD to review the chosen level of its “current account” cash buffer.</w:t>
            </w:r>
          </w:p>
        </w:tc>
        <w:tc>
          <w:tcPr>
            <w:tcW w:w="3940" w:type="dxa"/>
          </w:tcPr>
          <w:p w14:paraId="5EDBE28D" w14:textId="77777777" w:rsidR="00FD0295" w:rsidRPr="002D45EF" w:rsidRDefault="00FD0295" w:rsidP="006440BB">
            <w:pPr>
              <w:spacing w:before="60" w:after="60"/>
              <w:rPr>
                <w:rFonts w:cs="Arial"/>
                <w:sz w:val="20"/>
                <w:szCs w:val="20"/>
              </w:rPr>
            </w:pPr>
          </w:p>
        </w:tc>
      </w:tr>
      <w:tr w:rsidR="00FD0295" w:rsidRPr="002D45EF" w14:paraId="4B8F71B4" w14:textId="77777777" w:rsidTr="006440BB">
        <w:tc>
          <w:tcPr>
            <w:tcW w:w="1439" w:type="dxa"/>
            <w:vMerge w:val="restart"/>
            <w:vAlign w:val="center"/>
          </w:tcPr>
          <w:p w14:paraId="70D45F1C" w14:textId="77777777" w:rsidR="00FD0295" w:rsidRPr="002D45EF" w:rsidRDefault="00FD0295" w:rsidP="006440BB">
            <w:pPr>
              <w:spacing w:before="60" w:after="60"/>
              <w:rPr>
                <w:rFonts w:cs="Arial"/>
                <w:b/>
                <w:sz w:val="20"/>
                <w:szCs w:val="20"/>
              </w:rPr>
            </w:pPr>
            <w:r w:rsidRPr="002D45EF">
              <w:rPr>
                <w:rFonts w:cs="Arial"/>
                <w:b/>
                <w:sz w:val="20"/>
                <w:szCs w:val="20"/>
              </w:rPr>
              <w:t>Cash Flow Forecasts</w:t>
            </w:r>
          </w:p>
        </w:tc>
        <w:tc>
          <w:tcPr>
            <w:tcW w:w="3971" w:type="dxa"/>
          </w:tcPr>
          <w:p w14:paraId="1E519F0C" w14:textId="77777777" w:rsidR="00FD0295" w:rsidRPr="002D45EF" w:rsidRDefault="00FD0295" w:rsidP="006440BB">
            <w:pPr>
              <w:spacing w:before="60" w:after="60"/>
              <w:rPr>
                <w:rFonts w:cs="Arial"/>
                <w:sz w:val="20"/>
                <w:szCs w:val="20"/>
              </w:rPr>
            </w:pPr>
            <w:r w:rsidRPr="002D45EF">
              <w:rPr>
                <w:sz w:val="20"/>
                <w:szCs w:val="20"/>
              </w:rPr>
              <w:t xml:space="preserve">CBA to discuss with the PDMD the information that </w:t>
            </w:r>
            <w:r>
              <w:rPr>
                <w:sz w:val="20"/>
                <w:szCs w:val="20"/>
              </w:rPr>
              <w:t xml:space="preserve">is </w:t>
            </w:r>
            <w:r w:rsidRPr="002D45EF">
              <w:rPr>
                <w:sz w:val="20"/>
                <w:szCs w:val="20"/>
              </w:rPr>
              <w:t xml:space="preserve">available </w:t>
            </w:r>
            <w:r>
              <w:rPr>
                <w:sz w:val="20"/>
                <w:szCs w:val="20"/>
              </w:rPr>
              <w:t>with a view to building forecasts with a long horizon (with a monthly breakdown) t</w:t>
            </w:r>
            <w:r w:rsidRPr="002D45EF">
              <w:rPr>
                <w:sz w:val="20"/>
                <w:szCs w:val="20"/>
              </w:rPr>
              <w:t xml:space="preserve">hat might best meet the CBA’s requirements.  </w:t>
            </w:r>
          </w:p>
        </w:tc>
        <w:tc>
          <w:tcPr>
            <w:tcW w:w="3940" w:type="dxa"/>
          </w:tcPr>
          <w:p w14:paraId="3C4F5C29" w14:textId="77777777" w:rsidR="00FD0295" w:rsidRPr="002D45EF" w:rsidRDefault="00FD0295" w:rsidP="006440BB">
            <w:pPr>
              <w:spacing w:before="60" w:after="60"/>
              <w:rPr>
                <w:rFonts w:cs="Arial"/>
                <w:sz w:val="20"/>
                <w:szCs w:val="20"/>
              </w:rPr>
            </w:pPr>
            <w:r w:rsidRPr="002D45EF">
              <w:rPr>
                <w:rFonts w:cs="Arial"/>
                <w:sz w:val="20"/>
                <w:szCs w:val="20"/>
              </w:rPr>
              <w:t>PDMD and CBA to review their existing Service Level Agreement covering the flow of information and other interactions</w:t>
            </w:r>
          </w:p>
        </w:tc>
      </w:tr>
      <w:tr w:rsidR="00FD0295" w:rsidRPr="002D45EF" w14:paraId="424A5380" w14:textId="77777777" w:rsidTr="006440BB">
        <w:tc>
          <w:tcPr>
            <w:tcW w:w="1439" w:type="dxa"/>
            <w:vMerge/>
            <w:vAlign w:val="center"/>
          </w:tcPr>
          <w:p w14:paraId="5909D3F1" w14:textId="77777777" w:rsidR="00FD0295" w:rsidRPr="002D45EF" w:rsidRDefault="00FD0295" w:rsidP="006440BB">
            <w:pPr>
              <w:spacing w:before="60" w:after="60"/>
              <w:rPr>
                <w:rFonts w:cs="Arial"/>
                <w:b/>
                <w:sz w:val="20"/>
                <w:szCs w:val="20"/>
              </w:rPr>
            </w:pPr>
          </w:p>
        </w:tc>
        <w:tc>
          <w:tcPr>
            <w:tcW w:w="3971" w:type="dxa"/>
          </w:tcPr>
          <w:p w14:paraId="69149E50" w14:textId="77777777" w:rsidR="00FD0295" w:rsidRPr="002D45EF" w:rsidRDefault="00FD0295" w:rsidP="006440BB">
            <w:pPr>
              <w:spacing w:before="60" w:after="60"/>
              <w:rPr>
                <w:rFonts w:cs="Arial"/>
                <w:sz w:val="20"/>
                <w:szCs w:val="20"/>
              </w:rPr>
            </w:pPr>
            <w:r w:rsidRPr="002D45EF">
              <w:rPr>
                <w:sz w:val="20"/>
                <w:szCs w:val="20"/>
              </w:rPr>
              <w:t xml:space="preserve">PDMD to identify the nature of the constraint on information flows from the SRC with a view to recommending internally that the forecasts passed to CBA should take account of all information available.  </w:t>
            </w:r>
          </w:p>
        </w:tc>
        <w:tc>
          <w:tcPr>
            <w:tcW w:w="3940" w:type="dxa"/>
          </w:tcPr>
          <w:p w14:paraId="570A5421" w14:textId="77777777" w:rsidR="00FD0295" w:rsidRPr="002D45EF" w:rsidRDefault="00FD0295" w:rsidP="006440BB">
            <w:pPr>
              <w:spacing w:before="60" w:after="60"/>
              <w:rPr>
                <w:rFonts w:cs="Arial"/>
                <w:sz w:val="20"/>
                <w:szCs w:val="20"/>
              </w:rPr>
            </w:pPr>
          </w:p>
        </w:tc>
      </w:tr>
      <w:tr w:rsidR="00FD0295" w:rsidRPr="002D45EF" w14:paraId="2E66FFDC" w14:textId="77777777" w:rsidTr="006440BB">
        <w:tc>
          <w:tcPr>
            <w:tcW w:w="1439" w:type="dxa"/>
            <w:vMerge/>
            <w:vAlign w:val="center"/>
          </w:tcPr>
          <w:p w14:paraId="3872235A" w14:textId="77777777" w:rsidR="00FD0295" w:rsidRPr="002D45EF" w:rsidRDefault="00FD0295" w:rsidP="006440BB">
            <w:pPr>
              <w:spacing w:before="60" w:after="60"/>
              <w:rPr>
                <w:rFonts w:cs="Arial"/>
                <w:b/>
                <w:sz w:val="20"/>
                <w:szCs w:val="20"/>
              </w:rPr>
            </w:pPr>
          </w:p>
        </w:tc>
        <w:tc>
          <w:tcPr>
            <w:tcW w:w="3971" w:type="dxa"/>
          </w:tcPr>
          <w:p w14:paraId="0DC302F9" w14:textId="77777777" w:rsidR="00FD0295" w:rsidRPr="002D45EF" w:rsidRDefault="00FD0295" w:rsidP="006440BB">
            <w:pPr>
              <w:spacing w:before="60" w:after="60"/>
              <w:rPr>
                <w:rFonts w:cs="Arial"/>
                <w:sz w:val="20"/>
                <w:szCs w:val="20"/>
              </w:rPr>
            </w:pPr>
            <w:r w:rsidRPr="002D45EF">
              <w:rPr>
                <w:sz w:val="20"/>
                <w:szCs w:val="20"/>
              </w:rPr>
              <w:t>PDMD to establish processes for preparing weekly forecasts that extend at least 3 months ahead</w:t>
            </w:r>
          </w:p>
        </w:tc>
        <w:tc>
          <w:tcPr>
            <w:tcW w:w="3940" w:type="dxa"/>
          </w:tcPr>
          <w:p w14:paraId="0D55C4AE" w14:textId="77777777" w:rsidR="00FD0295" w:rsidRPr="002D45EF" w:rsidRDefault="00FD0295" w:rsidP="006440BB">
            <w:pPr>
              <w:spacing w:before="60" w:after="60"/>
              <w:rPr>
                <w:rFonts w:cs="Arial"/>
                <w:sz w:val="20"/>
                <w:szCs w:val="20"/>
              </w:rPr>
            </w:pPr>
            <w:r w:rsidRPr="002D45EF">
              <w:rPr>
                <w:rFonts w:cs="Arial"/>
                <w:sz w:val="20"/>
                <w:szCs w:val="20"/>
              </w:rPr>
              <w:t>PDMD to build processes for the systematic analysis of forecast errors</w:t>
            </w:r>
          </w:p>
        </w:tc>
      </w:tr>
      <w:tr w:rsidR="00FD0295" w:rsidRPr="002D45EF" w14:paraId="689DD4EB" w14:textId="77777777" w:rsidTr="006440BB">
        <w:tc>
          <w:tcPr>
            <w:tcW w:w="1439" w:type="dxa"/>
            <w:vMerge/>
            <w:vAlign w:val="center"/>
          </w:tcPr>
          <w:p w14:paraId="40725AB0" w14:textId="77777777" w:rsidR="00FD0295" w:rsidRPr="002D45EF" w:rsidRDefault="00FD0295" w:rsidP="006440BB">
            <w:pPr>
              <w:spacing w:before="60" w:after="60"/>
              <w:rPr>
                <w:rFonts w:cs="Arial"/>
                <w:b/>
                <w:sz w:val="20"/>
                <w:szCs w:val="20"/>
              </w:rPr>
            </w:pPr>
          </w:p>
        </w:tc>
        <w:tc>
          <w:tcPr>
            <w:tcW w:w="3971" w:type="dxa"/>
          </w:tcPr>
          <w:p w14:paraId="7E0DDB83" w14:textId="77777777" w:rsidR="00FD0295" w:rsidRPr="002D45EF" w:rsidRDefault="00FD0295" w:rsidP="006440BB">
            <w:pPr>
              <w:spacing w:before="60" w:after="60"/>
              <w:rPr>
                <w:rFonts w:cs="Arial"/>
                <w:sz w:val="20"/>
                <w:szCs w:val="20"/>
              </w:rPr>
            </w:pPr>
            <w:r w:rsidRPr="002D45EF">
              <w:rPr>
                <w:sz w:val="20"/>
                <w:szCs w:val="20"/>
              </w:rPr>
              <w:t xml:space="preserve">PDMD to request (through Ministers) the Tax and Customs Services to complete a simple template each month, setting out their best forecasts for the next 3 months.  </w:t>
            </w:r>
          </w:p>
        </w:tc>
        <w:tc>
          <w:tcPr>
            <w:tcW w:w="3940" w:type="dxa"/>
          </w:tcPr>
          <w:p w14:paraId="74AB3F07" w14:textId="77777777" w:rsidR="00FD0295" w:rsidRPr="002D45EF" w:rsidRDefault="00FD0295" w:rsidP="006440BB">
            <w:pPr>
              <w:spacing w:before="60" w:after="60"/>
              <w:rPr>
                <w:rFonts w:cs="Arial"/>
                <w:sz w:val="20"/>
                <w:szCs w:val="20"/>
              </w:rPr>
            </w:pPr>
            <w:r w:rsidRPr="002D45EF">
              <w:rPr>
                <w:rFonts w:cs="Arial"/>
                <w:sz w:val="20"/>
                <w:szCs w:val="20"/>
              </w:rPr>
              <w:t>PDMD to request the tax services to provide forecasts weekly extending at least 3 months ahead</w:t>
            </w:r>
          </w:p>
        </w:tc>
      </w:tr>
      <w:tr w:rsidR="00FD0295" w:rsidRPr="002D45EF" w14:paraId="127A04D0" w14:textId="77777777" w:rsidTr="006440BB">
        <w:tc>
          <w:tcPr>
            <w:tcW w:w="1439" w:type="dxa"/>
            <w:vMerge/>
            <w:vAlign w:val="center"/>
          </w:tcPr>
          <w:p w14:paraId="09FE3270" w14:textId="77777777" w:rsidR="00FD0295" w:rsidRPr="002D45EF" w:rsidRDefault="00FD0295" w:rsidP="006440BB">
            <w:pPr>
              <w:spacing w:before="60" w:after="60"/>
              <w:rPr>
                <w:rFonts w:cs="Arial"/>
                <w:b/>
                <w:sz w:val="20"/>
                <w:szCs w:val="20"/>
              </w:rPr>
            </w:pPr>
          </w:p>
        </w:tc>
        <w:tc>
          <w:tcPr>
            <w:tcW w:w="3971" w:type="dxa"/>
          </w:tcPr>
          <w:p w14:paraId="77E197D9" w14:textId="77777777" w:rsidR="00FD0295" w:rsidRPr="002D45EF" w:rsidRDefault="00FD0295" w:rsidP="006440BB">
            <w:pPr>
              <w:spacing w:before="60" w:after="60"/>
              <w:rPr>
                <w:rFonts w:cs="Arial"/>
                <w:sz w:val="20"/>
                <w:szCs w:val="20"/>
              </w:rPr>
            </w:pPr>
            <w:r w:rsidRPr="002D45EF">
              <w:rPr>
                <w:sz w:val="20"/>
                <w:szCs w:val="20"/>
              </w:rPr>
              <w:t>PDMD to request the EPFPD to put in place arrangements whereby each month it updates the monthly profile for the budget year of expected donor flows.</w:t>
            </w:r>
          </w:p>
        </w:tc>
        <w:tc>
          <w:tcPr>
            <w:tcW w:w="3940" w:type="dxa"/>
          </w:tcPr>
          <w:p w14:paraId="248B63A2" w14:textId="77777777" w:rsidR="00FD0295" w:rsidRPr="002D45EF" w:rsidRDefault="00FD0295" w:rsidP="006440BB">
            <w:pPr>
              <w:spacing w:before="60" w:after="60"/>
              <w:rPr>
                <w:rFonts w:cs="Arial"/>
                <w:sz w:val="20"/>
                <w:szCs w:val="20"/>
              </w:rPr>
            </w:pPr>
            <w:r w:rsidRPr="002D45EF">
              <w:rPr>
                <w:rFonts w:cs="Arial"/>
                <w:sz w:val="20"/>
                <w:szCs w:val="20"/>
              </w:rPr>
              <w:t>PDMD to develop its operational-level contacts in the major line ministries, and potentially also in major EBFs and communities, to develop a flow of forecast information.</w:t>
            </w:r>
          </w:p>
        </w:tc>
      </w:tr>
      <w:tr w:rsidR="00FD0295" w:rsidRPr="002D45EF" w14:paraId="35D8BC16" w14:textId="77777777" w:rsidTr="006440BB">
        <w:tc>
          <w:tcPr>
            <w:tcW w:w="1439" w:type="dxa"/>
            <w:vMerge w:val="restart"/>
            <w:vAlign w:val="center"/>
          </w:tcPr>
          <w:p w14:paraId="6E17538F" w14:textId="77777777" w:rsidR="00FD0295" w:rsidRPr="002D45EF" w:rsidRDefault="00FD0295" w:rsidP="006440BB">
            <w:pPr>
              <w:spacing w:before="60" w:after="60"/>
              <w:rPr>
                <w:rFonts w:cs="Arial"/>
                <w:b/>
                <w:sz w:val="20"/>
                <w:szCs w:val="20"/>
              </w:rPr>
            </w:pPr>
            <w:r w:rsidRPr="002D45EF">
              <w:rPr>
                <w:rFonts w:cs="Arial"/>
                <w:b/>
                <w:sz w:val="20"/>
                <w:szCs w:val="20"/>
              </w:rPr>
              <w:t>Active Cash Management</w:t>
            </w:r>
          </w:p>
        </w:tc>
        <w:tc>
          <w:tcPr>
            <w:tcW w:w="3971" w:type="dxa"/>
          </w:tcPr>
          <w:p w14:paraId="0FED9767" w14:textId="77777777" w:rsidR="00FD0295" w:rsidRPr="002D45EF" w:rsidRDefault="00FD0295" w:rsidP="006440BB">
            <w:pPr>
              <w:spacing w:before="60" w:after="60"/>
              <w:rPr>
                <w:rFonts w:cs="Arial"/>
                <w:sz w:val="20"/>
                <w:szCs w:val="20"/>
              </w:rPr>
            </w:pPr>
            <w:r w:rsidRPr="002D45EF">
              <w:rPr>
                <w:rFonts w:cs="Arial"/>
                <w:sz w:val="20"/>
                <w:szCs w:val="20"/>
              </w:rPr>
              <w:t>PDMD to develop an outline action plan to move to more active cash management</w:t>
            </w:r>
          </w:p>
        </w:tc>
        <w:tc>
          <w:tcPr>
            <w:tcW w:w="3940" w:type="dxa"/>
          </w:tcPr>
          <w:p w14:paraId="28D60709" w14:textId="77777777" w:rsidR="00FD0295" w:rsidRPr="002D45EF" w:rsidRDefault="00FD0295" w:rsidP="006440BB">
            <w:pPr>
              <w:spacing w:before="60" w:after="60"/>
              <w:rPr>
                <w:rFonts w:cs="Arial"/>
                <w:sz w:val="20"/>
                <w:szCs w:val="20"/>
              </w:rPr>
            </w:pPr>
          </w:p>
        </w:tc>
      </w:tr>
      <w:tr w:rsidR="00FD0295" w:rsidRPr="002D45EF" w14:paraId="094E1099" w14:textId="77777777" w:rsidTr="006440BB">
        <w:tc>
          <w:tcPr>
            <w:tcW w:w="1439" w:type="dxa"/>
            <w:vMerge/>
          </w:tcPr>
          <w:p w14:paraId="56B46D56" w14:textId="77777777" w:rsidR="00FD0295" w:rsidRPr="002D45EF" w:rsidRDefault="00FD0295" w:rsidP="006440BB">
            <w:pPr>
              <w:spacing w:before="60" w:after="60"/>
              <w:jc w:val="both"/>
              <w:rPr>
                <w:rFonts w:cs="Arial"/>
                <w:sz w:val="20"/>
                <w:szCs w:val="20"/>
              </w:rPr>
            </w:pPr>
          </w:p>
        </w:tc>
        <w:tc>
          <w:tcPr>
            <w:tcW w:w="3971" w:type="dxa"/>
          </w:tcPr>
          <w:p w14:paraId="62D351CF" w14:textId="77777777" w:rsidR="00FD0295" w:rsidRPr="002D45EF" w:rsidRDefault="00FD0295" w:rsidP="006440BB">
            <w:pPr>
              <w:spacing w:before="60" w:after="60"/>
              <w:rPr>
                <w:rFonts w:cs="Arial"/>
                <w:sz w:val="20"/>
                <w:szCs w:val="20"/>
              </w:rPr>
            </w:pPr>
            <w:r w:rsidRPr="002D45EF">
              <w:rPr>
                <w:rFonts w:cs="Arial"/>
                <w:sz w:val="20"/>
                <w:szCs w:val="20"/>
              </w:rPr>
              <w:t>PDMD to establish a Cash Coordinating Committee</w:t>
            </w:r>
          </w:p>
        </w:tc>
        <w:tc>
          <w:tcPr>
            <w:tcW w:w="3940" w:type="dxa"/>
          </w:tcPr>
          <w:p w14:paraId="5FF65CAC" w14:textId="77777777" w:rsidR="00FD0295" w:rsidRPr="002D45EF" w:rsidRDefault="00FD0295" w:rsidP="006440BB">
            <w:pPr>
              <w:spacing w:before="60" w:after="60"/>
              <w:rPr>
                <w:rFonts w:cs="Arial"/>
                <w:sz w:val="20"/>
                <w:szCs w:val="20"/>
              </w:rPr>
            </w:pPr>
          </w:p>
        </w:tc>
      </w:tr>
    </w:tbl>
    <w:p w14:paraId="29E915CC" w14:textId="17FACB7E" w:rsidR="00710A67" w:rsidRPr="002D45EF" w:rsidRDefault="00A73FA7" w:rsidP="00225AC5">
      <w:pPr>
        <w:pStyle w:val="Topic1"/>
        <w:numPr>
          <w:ilvl w:val="0"/>
          <w:numId w:val="0"/>
        </w:numPr>
        <w:ind w:left="720" w:hanging="360"/>
        <w:jc w:val="left"/>
      </w:pPr>
      <w:r w:rsidRPr="002D45EF">
        <w:t xml:space="preserve"> </w:t>
      </w:r>
    </w:p>
    <w:p w14:paraId="0454F281" w14:textId="49E7FC87" w:rsidR="00225AC5" w:rsidRDefault="00225AC5" w:rsidP="00225AC5">
      <w:pPr>
        <w:pStyle w:val="ParagraphNumbering"/>
        <w:numPr>
          <w:ilvl w:val="0"/>
          <w:numId w:val="0"/>
        </w:numPr>
        <w:spacing w:before="240"/>
        <w:rPr>
          <w:rFonts w:eastAsia="Times New Roman" w:cs="Arial"/>
          <w:b/>
          <w:bCs/>
        </w:rPr>
        <w:sectPr w:rsidR="00225AC5" w:rsidSect="001C41EB">
          <w:pgSz w:w="12240" w:h="15840"/>
          <w:pgMar w:top="1440" w:right="1440" w:bottom="1440" w:left="1440" w:header="720" w:footer="720" w:gutter="0"/>
          <w:pgNumType w:start="1"/>
          <w:cols w:space="720"/>
          <w:docGrid w:linePitch="360"/>
        </w:sectPr>
      </w:pPr>
    </w:p>
    <w:p w14:paraId="225FB775" w14:textId="79A2199F" w:rsidR="00225AC5" w:rsidRPr="004D4981" w:rsidRDefault="00225AC5" w:rsidP="00225AC5">
      <w:pPr>
        <w:pStyle w:val="Topic1"/>
        <w:numPr>
          <w:ilvl w:val="0"/>
          <w:numId w:val="0"/>
        </w:numPr>
      </w:pPr>
      <w:bookmarkStart w:id="8" w:name="_Toc523069456"/>
      <w:r>
        <w:lastRenderedPageBreak/>
        <w:t xml:space="preserve">Annex B: </w:t>
      </w:r>
      <w:r w:rsidRPr="004D4981">
        <w:t>WORK PLAN</w:t>
      </w:r>
      <w:bookmarkEnd w:id="8"/>
    </w:p>
    <w:p w14:paraId="4D0DBFBF" w14:textId="267AC657" w:rsidR="00225AC5" w:rsidRPr="004D4981" w:rsidRDefault="00225AC5" w:rsidP="00225AC5">
      <w:pPr>
        <w:spacing w:before="120" w:after="120"/>
        <w:rPr>
          <w:rFonts w:cs="Arial"/>
        </w:rPr>
      </w:pPr>
      <w:r w:rsidRPr="004D4981">
        <w:rPr>
          <w:rFonts w:cs="Arial"/>
        </w:rPr>
        <w:t>This table takes as a starting point the recommendations in the consultant’s interim report.  It then seeks to identify the main actions under each of these recommendations,</w:t>
      </w:r>
      <w:r w:rsidR="001F6343">
        <w:rPr>
          <w:rFonts w:cs="Arial"/>
        </w:rPr>
        <w:t xml:space="preserve"> taking account of the further discussions with the PDMD,</w:t>
      </w:r>
      <w:r w:rsidRPr="004D4981">
        <w:rPr>
          <w:rFonts w:cs="Arial"/>
        </w:rPr>
        <w:t xml:space="preserve"> with deliverables where they can be clearly identified.</w:t>
      </w:r>
    </w:p>
    <w:p w14:paraId="2381DDBA" w14:textId="01A0CD8E" w:rsidR="00225AC5" w:rsidRDefault="00225AC5" w:rsidP="00225AC5">
      <w:pPr>
        <w:spacing w:before="120" w:after="120"/>
        <w:rPr>
          <w:rFonts w:cs="Arial"/>
        </w:rPr>
      </w:pPr>
      <w:r w:rsidRPr="004D4981">
        <w:rPr>
          <w:rFonts w:cs="Arial"/>
        </w:rPr>
        <w:t xml:space="preserve">It will be for the MoF/PDMD to </w:t>
      </w:r>
      <w:r w:rsidR="001F6343">
        <w:rPr>
          <w:rFonts w:cs="Arial"/>
        </w:rPr>
        <w:t>discuss with the ADB</w:t>
      </w:r>
      <w:r w:rsidRPr="004D4981">
        <w:rPr>
          <w:rFonts w:cs="Arial"/>
        </w:rPr>
        <w:t xml:space="preserve"> which deliverables are realistic for the purposes of the ADB’s requirements.  </w:t>
      </w:r>
    </w:p>
    <w:p w14:paraId="196D9DE8" w14:textId="77777777" w:rsidR="001F6343" w:rsidRPr="004D4981" w:rsidRDefault="001F6343" w:rsidP="00225AC5">
      <w:pPr>
        <w:spacing w:before="120" w:after="120"/>
        <w:rPr>
          <w:rFonts w:cs="Arial"/>
        </w:rPr>
      </w:pPr>
    </w:p>
    <w:tbl>
      <w:tblPr>
        <w:tblStyle w:val="TableGrid"/>
        <w:tblW w:w="0" w:type="auto"/>
        <w:tblInd w:w="142" w:type="dxa"/>
        <w:tblCellMar>
          <w:top w:w="57" w:type="dxa"/>
          <w:bottom w:w="57" w:type="dxa"/>
        </w:tblCellMar>
        <w:tblLook w:val="04A0" w:firstRow="1" w:lastRow="0" w:firstColumn="1" w:lastColumn="0" w:noHBand="0" w:noVBand="1"/>
      </w:tblPr>
      <w:tblGrid>
        <w:gridCol w:w="7549"/>
        <w:gridCol w:w="2050"/>
        <w:gridCol w:w="3435"/>
      </w:tblGrid>
      <w:tr w:rsidR="001F6343" w:rsidRPr="003C29C8" w14:paraId="75C5436D" w14:textId="77777777" w:rsidTr="00225AC5">
        <w:tc>
          <w:tcPr>
            <w:tcW w:w="8075" w:type="dxa"/>
            <w:shd w:val="clear" w:color="auto" w:fill="95B3D7" w:themeFill="accent1" w:themeFillTint="99"/>
          </w:tcPr>
          <w:p w14:paraId="4823EC28" w14:textId="77777777" w:rsidR="00225AC5" w:rsidRPr="003C29C8" w:rsidRDefault="00225AC5" w:rsidP="00225AC5">
            <w:pPr>
              <w:rPr>
                <w:rFonts w:cs="Arial"/>
                <w:b/>
              </w:rPr>
            </w:pPr>
            <w:r w:rsidRPr="003C29C8">
              <w:rPr>
                <w:rFonts w:cs="Arial"/>
                <w:b/>
              </w:rPr>
              <w:t>Recommended Action</w:t>
            </w:r>
          </w:p>
        </w:tc>
        <w:tc>
          <w:tcPr>
            <w:tcW w:w="2126" w:type="dxa"/>
            <w:shd w:val="clear" w:color="auto" w:fill="95B3D7" w:themeFill="accent1" w:themeFillTint="99"/>
          </w:tcPr>
          <w:p w14:paraId="25278E3A" w14:textId="77777777" w:rsidR="00225AC5" w:rsidRPr="003C29C8" w:rsidRDefault="00225AC5" w:rsidP="00225AC5">
            <w:pPr>
              <w:rPr>
                <w:rFonts w:cs="Arial"/>
                <w:b/>
              </w:rPr>
            </w:pPr>
            <w:r w:rsidRPr="003C29C8">
              <w:rPr>
                <w:rFonts w:cs="Arial"/>
                <w:b/>
              </w:rPr>
              <w:t>Timing</w:t>
            </w:r>
          </w:p>
        </w:tc>
        <w:tc>
          <w:tcPr>
            <w:tcW w:w="3605" w:type="dxa"/>
            <w:shd w:val="clear" w:color="auto" w:fill="95B3D7" w:themeFill="accent1" w:themeFillTint="99"/>
          </w:tcPr>
          <w:p w14:paraId="79881CC9" w14:textId="77777777" w:rsidR="00225AC5" w:rsidRPr="003C29C8" w:rsidRDefault="00225AC5" w:rsidP="00225AC5">
            <w:pPr>
              <w:rPr>
                <w:rFonts w:cs="Arial"/>
                <w:b/>
              </w:rPr>
            </w:pPr>
            <w:r w:rsidRPr="003C29C8">
              <w:rPr>
                <w:rFonts w:cs="Arial"/>
                <w:b/>
              </w:rPr>
              <w:t>Deliverable</w:t>
            </w:r>
          </w:p>
        </w:tc>
      </w:tr>
      <w:tr w:rsidR="001F6343" w:rsidRPr="003C29C8" w14:paraId="4385E2F3" w14:textId="77777777" w:rsidTr="00225AC5">
        <w:tc>
          <w:tcPr>
            <w:tcW w:w="8075" w:type="dxa"/>
            <w:tcBorders>
              <w:bottom w:val="single" w:sz="4" w:space="0" w:color="auto"/>
            </w:tcBorders>
          </w:tcPr>
          <w:p w14:paraId="2BB8A8E8" w14:textId="77777777" w:rsidR="00225AC5" w:rsidRPr="003C29C8" w:rsidRDefault="00225AC5" w:rsidP="00225AC5">
            <w:pPr>
              <w:rPr>
                <w:rFonts w:cs="Arial"/>
              </w:rPr>
            </w:pPr>
          </w:p>
        </w:tc>
        <w:tc>
          <w:tcPr>
            <w:tcW w:w="2126" w:type="dxa"/>
            <w:tcBorders>
              <w:bottom w:val="single" w:sz="4" w:space="0" w:color="auto"/>
            </w:tcBorders>
          </w:tcPr>
          <w:p w14:paraId="66348CF1" w14:textId="77777777" w:rsidR="00225AC5" w:rsidRPr="003C29C8" w:rsidRDefault="00225AC5" w:rsidP="00225AC5">
            <w:pPr>
              <w:rPr>
                <w:rFonts w:cs="Arial"/>
              </w:rPr>
            </w:pPr>
          </w:p>
        </w:tc>
        <w:tc>
          <w:tcPr>
            <w:tcW w:w="3605" w:type="dxa"/>
            <w:tcBorders>
              <w:bottom w:val="single" w:sz="4" w:space="0" w:color="auto"/>
            </w:tcBorders>
          </w:tcPr>
          <w:p w14:paraId="090FF064" w14:textId="77777777" w:rsidR="00225AC5" w:rsidRPr="003C29C8" w:rsidRDefault="00225AC5" w:rsidP="00225AC5">
            <w:pPr>
              <w:rPr>
                <w:rFonts w:cs="Arial"/>
              </w:rPr>
            </w:pPr>
          </w:p>
        </w:tc>
      </w:tr>
      <w:tr w:rsidR="001F6343" w:rsidRPr="003C29C8" w14:paraId="64CF5460" w14:textId="77777777" w:rsidTr="00225AC5">
        <w:tc>
          <w:tcPr>
            <w:tcW w:w="8075" w:type="dxa"/>
            <w:shd w:val="clear" w:color="auto" w:fill="DBE5F1" w:themeFill="accent1" w:themeFillTint="33"/>
          </w:tcPr>
          <w:p w14:paraId="02606E15" w14:textId="77777777" w:rsidR="00225AC5" w:rsidRPr="003C29C8" w:rsidRDefault="00225AC5" w:rsidP="00225AC5">
            <w:pPr>
              <w:rPr>
                <w:rFonts w:cs="Arial"/>
                <w:b/>
              </w:rPr>
            </w:pPr>
            <w:r w:rsidRPr="003C29C8">
              <w:rPr>
                <w:rFonts w:cs="Arial"/>
                <w:b/>
              </w:rPr>
              <w:t>Treasury Single Account</w:t>
            </w:r>
          </w:p>
        </w:tc>
        <w:tc>
          <w:tcPr>
            <w:tcW w:w="2126" w:type="dxa"/>
            <w:shd w:val="clear" w:color="auto" w:fill="DBE5F1" w:themeFill="accent1" w:themeFillTint="33"/>
          </w:tcPr>
          <w:p w14:paraId="486BBB06" w14:textId="77777777" w:rsidR="00225AC5" w:rsidRPr="003C29C8" w:rsidRDefault="00225AC5" w:rsidP="00225AC5">
            <w:pPr>
              <w:rPr>
                <w:rFonts w:cs="Arial"/>
              </w:rPr>
            </w:pPr>
          </w:p>
        </w:tc>
        <w:tc>
          <w:tcPr>
            <w:tcW w:w="3605" w:type="dxa"/>
            <w:shd w:val="clear" w:color="auto" w:fill="DBE5F1" w:themeFill="accent1" w:themeFillTint="33"/>
          </w:tcPr>
          <w:p w14:paraId="67F2B324" w14:textId="77777777" w:rsidR="00225AC5" w:rsidRPr="003C29C8" w:rsidRDefault="00225AC5" w:rsidP="00225AC5">
            <w:pPr>
              <w:rPr>
                <w:rFonts w:cs="Arial"/>
              </w:rPr>
            </w:pPr>
          </w:p>
        </w:tc>
      </w:tr>
      <w:tr w:rsidR="001F6343" w:rsidRPr="003C29C8" w14:paraId="0CD05A3D" w14:textId="77777777" w:rsidTr="00225AC5">
        <w:tc>
          <w:tcPr>
            <w:tcW w:w="8075" w:type="dxa"/>
          </w:tcPr>
          <w:p w14:paraId="00E4E116" w14:textId="77777777" w:rsidR="00225AC5" w:rsidRPr="003C29C8" w:rsidRDefault="00225AC5" w:rsidP="00225AC5">
            <w:pPr>
              <w:rPr>
                <w:rFonts w:cs="Arial"/>
              </w:rPr>
            </w:pPr>
            <w:r w:rsidRPr="00A039D3">
              <w:rPr>
                <w:rFonts w:cs="Arial"/>
                <w:b/>
              </w:rPr>
              <w:t>Recommendation:</w:t>
            </w:r>
            <w:r>
              <w:rPr>
                <w:rFonts w:cs="Arial"/>
              </w:rPr>
              <w:t xml:space="preserve"> </w:t>
            </w:r>
            <w:r w:rsidRPr="003C29C8">
              <w:rPr>
                <w:rFonts w:cs="Arial"/>
              </w:rPr>
              <w:t>MoF to review the requirement to balance the state budget account at the end of each year, with a view to drawing more heavily on the balances in the TSA both within the year and across the year end.</w:t>
            </w:r>
          </w:p>
        </w:tc>
        <w:tc>
          <w:tcPr>
            <w:tcW w:w="2126" w:type="dxa"/>
          </w:tcPr>
          <w:p w14:paraId="679BC648" w14:textId="77777777" w:rsidR="00225AC5" w:rsidRPr="003C29C8" w:rsidRDefault="00225AC5" w:rsidP="00225AC5">
            <w:pPr>
              <w:rPr>
                <w:rFonts w:cs="Arial"/>
              </w:rPr>
            </w:pPr>
          </w:p>
        </w:tc>
        <w:tc>
          <w:tcPr>
            <w:tcW w:w="3605" w:type="dxa"/>
          </w:tcPr>
          <w:p w14:paraId="5E12A853" w14:textId="77777777" w:rsidR="00225AC5" w:rsidRPr="003C29C8" w:rsidRDefault="00225AC5" w:rsidP="00225AC5">
            <w:pPr>
              <w:rPr>
                <w:rFonts w:cs="Arial"/>
              </w:rPr>
            </w:pPr>
          </w:p>
        </w:tc>
      </w:tr>
      <w:tr w:rsidR="001F6343" w:rsidRPr="003C29C8" w14:paraId="4F40FBA7" w14:textId="77777777" w:rsidTr="00225AC5">
        <w:tc>
          <w:tcPr>
            <w:tcW w:w="8075" w:type="dxa"/>
          </w:tcPr>
          <w:p w14:paraId="302280B9" w14:textId="35009240" w:rsidR="00225AC5" w:rsidRPr="003C29C8" w:rsidRDefault="00225AC5" w:rsidP="00E06F98">
            <w:pPr>
              <w:pStyle w:val="ListParagraph"/>
              <w:numPr>
                <w:ilvl w:val="0"/>
                <w:numId w:val="11"/>
              </w:numPr>
              <w:spacing w:before="0" w:after="0" w:line="240" w:lineRule="auto"/>
              <w:jc w:val="both"/>
              <w:rPr>
                <w:rFonts w:cs="Arial"/>
              </w:rPr>
            </w:pPr>
            <w:r w:rsidRPr="003C29C8">
              <w:rPr>
                <w:rFonts w:cs="Arial"/>
              </w:rPr>
              <w:t>Agree internally (with PDMD, then B</w:t>
            </w:r>
            <w:r>
              <w:rPr>
                <w:rFonts w:cs="Arial"/>
              </w:rPr>
              <w:t xml:space="preserve">udget </w:t>
            </w:r>
            <w:r w:rsidR="001F6343" w:rsidRPr="001F6343">
              <w:rPr>
                <w:rFonts w:cs="Arial"/>
              </w:rPr>
              <w:t>Process Management Department</w:t>
            </w:r>
            <w:r w:rsidR="001F6343">
              <w:rPr>
                <w:rFonts w:cs="Arial"/>
              </w:rPr>
              <w:t>, BPMD</w:t>
            </w:r>
            <w:r w:rsidRPr="003C29C8">
              <w:rPr>
                <w:rFonts w:cs="Arial"/>
              </w:rPr>
              <w:t xml:space="preserve">) scope for drawing on </w:t>
            </w:r>
            <w:r w:rsidR="0064292E" w:rsidRPr="003C29C8">
              <w:rPr>
                <w:rFonts w:cs="Arial"/>
              </w:rPr>
              <w:t>stabilization</w:t>
            </w:r>
            <w:r w:rsidRPr="003C29C8">
              <w:rPr>
                <w:rFonts w:cs="Arial"/>
              </w:rPr>
              <w:t xml:space="preserve"> fund and other cash balances as part of financing of 201</w:t>
            </w:r>
            <w:r w:rsidR="0064292E">
              <w:rPr>
                <w:rFonts w:cs="Arial"/>
              </w:rPr>
              <w:t>9</w:t>
            </w:r>
            <w:r w:rsidRPr="003C29C8">
              <w:rPr>
                <w:rFonts w:cs="Arial"/>
              </w:rPr>
              <w:t xml:space="preserve"> budget</w:t>
            </w:r>
            <w:r>
              <w:rPr>
                <w:rFonts w:cs="Arial"/>
              </w:rPr>
              <w:t>, taking account of risks</w:t>
            </w:r>
            <w:r w:rsidRPr="003C29C8">
              <w:rPr>
                <w:rFonts w:cs="Arial"/>
              </w:rPr>
              <w:t xml:space="preserve"> [Views of CBA to be sought?]</w:t>
            </w:r>
          </w:p>
        </w:tc>
        <w:tc>
          <w:tcPr>
            <w:tcW w:w="2126" w:type="dxa"/>
          </w:tcPr>
          <w:p w14:paraId="36B0F347" w14:textId="77777777" w:rsidR="00225AC5" w:rsidRPr="003C29C8" w:rsidRDefault="00225AC5" w:rsidP="00225AC5">
            <w:pPr>
              <w:rPr>
                <w:rFonts w:cs="Arial"/>
              </w:rPr>
            </w:pPr>
            <w:r w:rsidRPr="003C29C8">
              <w:rPr>
                <w:rFonts w:cs="Arial"/>
              </w:rPr>
              <w:t>Sept 2018</w:t>
            </w:r>
          </w:p>
        </w:tc>
        <w:tc>
          <w:tcPr>
            <w:tcW w:w="3605" w:type="dxa"/>
          </w:tcPr>
          <w:p w14:paraId="3D71BBDE" w14:textId="77777777" w:rsidR="00225AC5" w:rsidRPr="003C29C8" w:rsidRDefault="00225AC5" w:rsidP="00225AC5">
            <w:pPr>
              <w:rPr>
                <w:rFonts w:cs="Arial"/>
              </w:rPr>
            </w:pPr>
          </w:p>
        </w:tc>
      </w:tr>
      <w:tr w:rsidR="001F6343" w:rsidRPr="003C29C8" w14:paraId="7D7562ED" w14:textId="77777777" w:rsidTr="00225AC5">
        <w:tc>
          <w:tcPr>
            <w:tcW w:w="8075" w:type="dxa"/>
          </w:tcPr>
          <w:p w14:paraId="0B0324DD" w14:textId="43491A60" w:rsidR="00225AC5" w:rsidRPr="003C29C8" w:rsidRDefault="001F6343" w:rsidP="00E06F98">
            <w:pPr>
              <w:pStyle w:val="ListParagraph"/>
              <w:numPr>
                <w:ilvl w:val="0"/>
                <w:numId w:val="11"/>
              </w:numPr>
              <w:spacing w:before="0" w:after="0" w:line="240" w:lineRule="auto"/>
              <w:jc w:val="both"/>
              <w:rPr>
                <w:rFonts w:cs="Arial"/>
              </w:rPr>
            </w:pPr>
            <w:r>
              <w:rPr>
                <w:rFonts w:cs="Arial"/>
              </w:rPr>
              <w:t>Formal r</w:t>
            </w:r>
            <w:r w:rsidR="00225AC5" w:rsidRPr="003C29C8">
              <w:rPr>
                <w:rFonts w:cs="Arial"/>
              </w:rPr>
              <w:t xml:space="preserve">ecommendation </w:t>
            </w:r>
            <w:r w:rsidR="00225AC5">
              <w:rPr>
                <w:rFonts w:cs="Arial"/>
              </w:rPr>
              <w:t>[</w:t>
            </w:r>
            <w:r w:rsidR="00225AC5" w:rsidRPr="003C29C8">
              <w:rPr>
                <w:rFonts w:cs="Arial"/>
              </w:rPr>
              <w:t xml:space="preserve">to </w:t>
            </w:r>
            <w:r>
              <w:rPr>
                <w:rFonts w:cs="Arial"/>
              </w:rPr>
              <w:t xml:space="preserve">BPMD and then to </w:t>
            </w:r>
            <w:r w:rsidR="00225AC5" w:rsidRPr="003C29C8">
              <w:rPr>
                <w:rFonts w:cs="Arial"/>
              </w:rPr>
              <w:t>Ministers</w:t>
            </w:r>
            <w:r w:rsidR="00225AC5">
              <w:rPr>
                <w:rFonts w:cs="Arial"/>
              </w:rPr>
              <w:t xml:space="preserve"> as relevant]</w:t>
            </w:r>
          </w:p>
        </w:tc>
        <w:tc>
          <w:tcPr>
            <w:tcW w:w="2126" w:type="dxa"/>
          </w:tcPr>
          <w:p w14:paraId="12A9FB0B" w14:textId="77777777" w:rsidR="00225AC5" w:rsidRPr="003C29C8" w:rsidRDefault="00225AC5" w:rsidP="00225AC5">
            <w:pPr>
              <w:rPr>
                <w:rFonts w:cs="Arial"/>
              </w:rPr>
            </w:pPr>
            <w:r w:rsidRPr="003C29C8">
              <w:rPr>
                <w:rFonts w:cs="Arial"/>
              </w:rPr>
              <w:t xml:space="preserve">By end </w:t>
            </w:r>
            <w:r>
              <w:rPr>
                <w:rFonts w:cs="Arial"/>
              </w:rPr>
              <w:t>Sept</w:t>
            </w:r>
          </w:p>
        </w:tc>
        <w:tc>
          <w:tcPr>
            <w:tcW w:w="3605" w:type="dxa"/>
          </w:tcPr>
          <w:p w14:paraId="1E1096C9" w14:textId="77777777" w:rsidR="00225AC5" w:rsidRPr="003C29C8" w:rsidRDefault="00225AC5" w:rsidP="00225AC5">
            <w:pPr>
              <w:rPr>
                <w:rFonts w:cs="Arial"/>
              </w:rPr>
            </w:pPr>
            <w:r>
              <w:rPr>
                <w:rFonts w:cs="Arial"/>
              </w:rPr>
              <w:t>[Internal paper]</w:t>
            </w:r>
          </w:p>
        </w:tc>
      </w:tr>
      <w:tr w:rsidR="001F6343" w:rsidRPr="003C29C8" w14:paraId="566D144E" w14:textId="77777777" w:rsidTr="00225AC5">
        <w:tc>
          <w:tcPr>
            <w:tcW w:w="8075" w:type="dxa"/>
          </w:tcPr>
          <w:p w14:paraId="1B6109FF" w14:textId="389AA485" w:rsidR="00225AC5" w:rsidRPr="003C29C8" w:rsidRDefault="00225AC5" w:rsidP="00E06F98">
            <w:pPr>
              <w:pStyle w:val="ListParagraph"/>
              <w:numPr>
                <w:ilvl w:val="0"/>
                <w:numId w:val="11"/>
              </w:numPr>
              <w:spacing w:before="0" w:after="0" w:line="240" w:lineRule="auto"/>
              <w:jc w:val="both"/>
              <w:rPr>
                <w:rFonts w:cs="Arial"/>
              </w:rPr>
            </w:pPr>
            <w:r w:rsidRPr="003C29C8">
              <w:rPr>
                <w:rFonts w:cs="Arial"/>
              </w:rPr>
              <w:t xml:space="preserve">Review </w:t>
            </w:r>
            <w:r>
              <w:rPr>
                <w:rFonts w:cs="Arial"/>
              </w:rPr>
              <w:t xml:space="preserve">(further) scope </w:t>
            </w:r>
            <w:r w:rsidRPr="003C29C8">
              <w:rPr>
                <w:rFonts w:cs="Arial"/>
              </w:rPr>
              <w:t xml:space="preserve">in 2019 in light of </w:t>
            </w:r>
            <w:r w:rsidR="001F6343">
              <w:rPr>
                <w:rFonts w:cs="Arial"/>
              </w:rPr>
              <w:t>assessed robustness of</w:t>
            </w:r>
            <w:r w:rsidRPr="003C29C8">
              <w:rPr>
                <w:rFonts w:cs="Arial"/>
              </w:rPr>
              <w:t xml:space="preserve"> cash flow forecasts</w:t>
            </w:r>
          </w:p>
        </w:tc>
        <w:tc>
          <w:tcPr>
            <w:tcW w:w="2126" w:type="dxa"/>
          </w:tcPr>
          <w:p w14:paraId="74C944B0" w14:textId="77777777" w:rsidR="00225AC5" w:rsidRPr="003C29C8" w:rsidRDefault="00225AC5" w:rsidP="00225AC5">
            <w:pPr>
              <w:rPr>
                <w:rFonts w:cs="Arial"/>
              </w:rPr>
            </w:pPr>
            <w:r w:rsidRPr="003C29C8">
              <w:rPr>
                <w:rFonts w:cs="Arial"/>
              </w:rPr>
              <w:t>Sept 2019</w:t>
            </w:r>
          </w:p>
        </w:tc>
        <w:tc>
          <w:tcPr>
            <w:tcW w:w="3605" w:type="dxa"/>
          </w:tcPr>
          <w:p w14:paraId="685D17F6" w14:textId="77777777" w:rsidR="00225AC5" w:rsidRPr="003C29C8" w:rsidRDefault="00225AC5" w:rsidP="00225AC5">
            <w:pPr>
              <w:rPr>
                <w:rFonts w:cs="Arial"/>
              </w:rPr>
            </w:pPr>
          </w:p>
        </w:tc>
      </w:tr>
      <w:tr w:rsidR="001F6343" w:rsidRPr="003C29C8" w14:paraId="246B0D4D" w14:textId="77777777" w:rsidTr="00225AC5">
        <w:tc>
          <w:tcPr>
            <w:tcW w:w="8075" w:type="dxa"/>
          </w:tcPr>
          <w:p w14:paraId="31B0C94E" w14:textId="77777777" w:rsidR="00225AC5" w:rsidRPr="003C29C8" w:rsidRDefault="00225AC5" w:rsidP="00225AC5">
            <w:pPr>
              <w:rPr>
                <w:rFonts w:cs="Arial"/>
              </w:rPr>
            </w:pPr>
            <w:r w:rsidRPr="003C29C8">
              <w:rPr>
                <w:rFonts w:cs="Arial"/>
              </w:rPr>
              <w:t>PDMD to review the chosen level of its “current account” cash buffer.</w:t>
            </w:r>
          </w:p>
        </w:tc>
        <w:tc>
          <w:tcPr>
            <w:tcW w:w="2126" w:type="dxa"/>
          </w:tcPr>
          <w:p w14:paraId="66278E6C" w14:textId="77777777" w:rsidR="00225AC5" w:rsidRPr="003C29C8" w:rsidRDefault="00225AC5" w:rsidP="00225AC5">
            <w:pPr>
              <w:rPr>
                <w:rFonts w:cs="Arial"/>
              </w:rPr>
            </w:pPr>
          </w:p>
        </w:tc>
        <w:tc>
          <w:tcPr>
            <w:tcW w:w="3605" w:type="dxa"/>
          </w:tcPr>
          <w:p w14:paraId="168FC451" w14:textId="77777777" w:rsidR="00225AC5" w:rsidRPr="003C29C8" w:rsidRDefault="00225AC5" w:rsidP="00225AC5">
            <w:pPr>
              <w:rPr>
                <w:rFonts w:cs="Arial"/>
              </w:rPr>
            </w:pPr>
          </w:p>
        </w:tc>
      </w:tr>
      <w:tr w:rsidR="001F6343" w:rsidRPr="003C29C8" w14:paraId="39961219" w14:textId="77777777" w:rsidTr="00225AC5">
        <w:tc>
          <w:tcPr>
            <w:tcW w:w="8075" w:type="dxa"/>
          </w:tcPr>
          <w:p w14:paraId="39EA0D74" w14:textId="77777777" w:rsidR="00225AC5" w:rsidRPr="003C29C8" w:rsidRDefault="00225AC5" w:rsidP="00E06F98">
            <w:pPr>
              <w:pStyle w:val="ListParagraph"/>
              <w:numPr>
                <w:ilvl w:val="0"/>
                <w:numId w:val="10"/>
              </w:numPr>
              <w:spacing w:before="0" w:after="0" w:line="240" w:lineRule="auto"/>
              <w:jc w:val="both"/>
              <w:rPr>
                <w:rFonts w:cs="Arial"/>
              </w:rPr>
            </w:pPr>
            <w:r w:rsidRPr="003C29C8">
              <w:rPr>
                <w:rFonts w:cs="Arial"/>
              </w:rPr>
              <w:t>Agree analytical framework, internal discussion</w:t>
            </w:r>
          </w:p>
        </w:tc>
        <w:tc>
          <w:tcPr>
            <w:tcW w:w="2126" w:type="dxa"/>
          </w:tcPr>
          <w:p w14:paraId="6312E3BF" w14:textId="77777777" w:rsidR="00225AC5" w:rsidRPr="003C29C8" w:rsidRDefault="00225AC5" w:rsidP="00225AC5">
            <w:pPr>
              <w:rPr>
                <w:rFonts w:cs="Arial"/>
              </w:rPr>
            </w:pPr>
            <w:r w:rsidRPr="003C29C8">
              <w:rPr>
                <w:rFonts w:cs="Arial"/>
              </w:rPr>
              <w:t>Sept-Nov 2018</w:t>
            </w:r>
          </w:p>
        </w:tc>
        <w:tc>
          <w:tcPr>
            <w:tcW w:w="3605" w:type="dxa"/>
          </w:tcPr>
          <w:p w14:paraId="66B7F099" w14:textId="77777777" w:rsidR="00225AC5" w:rsidRPr="003C29C8" w:rsidRDefault="00225AC5" w:rsidP="00225AC5">
            <w:pPr>
              <w:rPr>
                <w:rFonts w:cs="Arial"/>
              </w:rPr>
            </w:pPr>
          </w:p>
        </w:tc>
      </w:tr>
      <w:tr w:rsidR="001F6343" w:rsidRPr="003C29C8" w14:paraId="757B413B" w14:textId="77777777" w:rsidTr="00225AC5">
        <w:tc>
          <w:tcPr>
            <w:tcW w:w="8075" w:type="dxa"/>
          </w:tcPr>
          <w:p w14:paraId="4D410DDE" w14:textId="77777777" w:rsidR="00225AC5" w:rsidRPr="003C29C8" w:rsidRDefault="00225AC5" w:rsidP="00E06F98">
            <w:pPr>
              <w:pStyle w:val="ListParagraph"/>
              <w:numPr>
                <w:ilvl w:val="0"/>
                <w:numId w:val="10"/>
              </w:numPr>
              <w:spacing w:before="0" w:after="0" w:line="240" w:lineRule="auto"/>
              <w:jc w:val="both"/>
              <w:rPr>
                <w:rFonts w:cs="Arial"/>
              </w:rPr>
            </w:pPr>
            <w:r>
              <w:rPr>
                <w:rFonts w:cs="Arial"/>
              </w:rPr>
              <w:t>Target buffer agreed within the PDMD</w:t>
            </w:r>
          </w:p>
        </w:tc>
        <w:tc>
          <w:tcPr>
            <w:tcW w:w="2126" w:type="dxa"/>
          </w:tcPr>
          <w:p w14:paraId="53BDCDBF" w14:textId="77777777" w:rsidR="00225AC5" w:rsidRPr="003C29C8" w:rsidRDefault="00225AC5" w:rsidP="00225AC5">
            <w:pPr>
              <w:rPr>
                <w:rFonts w:cs="Arial"/>
              </w:rPr>
            </w:pPr>
            <w:r w:rsidRPr="003C29C8">
              <w:rPr>
                <w:rFonts w:cs="Arial"/>
              </w:rPr>
              <w:t>By end 2018</w:t>
            </w:r>
          </w:p>
        </w:tc>
        <w:tc>
          <w:tcPr>
            <w:tcW w:w="3605" w:type="dxa"/>
          </w:tcPr>
          <w:p w14:paraId="338AF8E5" w14:textId="77777777" w:rsidR="00225AC5" w:rsidRPr="003C29C8" w:rsidRDefault="00225AC5" w:rsidP="00225AC5">
            <w:pPr>
              <w:rPr>
                <w:rFonts w:cs="Arial"/>
              </w:rPr>
            </w:pPr>
            <w:r>
              <w:rPr>
                <w:rFonts w:cs="Arial"/>
              </w:rPr>
              <w:t>Record of decision</w:t>
            </w:r>
          </w:p>
        </w:tc>
      </w:tr>
      <w:tr w:rsidR="001F6343" w:rsidRPr="003C29C8" w14:paraId="0466E329" w14:textId="77777777" w:rsidTr="00225AC5">
        <w:trPr>
          <w:trHeight w:val="190"/>
        </w:trPr>
        <w:tc>
          <w:tcPr>
            <w:tcW w:w="8075" w:type="dxa"/>
            <w:tcBorders>
              <w:bottom w:val="single" w:sz="4" w:space="0" w:color="auto"/>
            </w:tcBorders>
          </w:tcPr>
          <w:p w14:paraId="14825EAF" w14:textId="77777777" w:rsidR="00225AC5" w:rsidRPr="003C29C8" w:rsidRDefault="00225AC5" w:rsidP="00225AC5">
            <w:pPr>
              <w:rPr>
                <w:rFonts w:cs="Arial"/>
              </w:rPr>
            </w:pPr>
          </w:p>
        </w:tc>
        <w:tc>
          <w:tcPr>
            <w:tcW w:w="2126" w:type="dxa"/>
            <w:tcBorders>
              <w:bottom w:val="single" w:sz="4" w:space="0" w:color="auto"/>
            </w:tcBorders>
          </w:tcPr>
          <w:p w14:paraId="687728ED" w14:textId="77777777" w:rsidR="00225AC5" w:rsidRPr="003C29C8" w:rsidRDefault="00225AC5" w:rsidP="00225AC5">
            <w:pPr>
              <w:rPr>
                <w:rFonts w:cs="Arial"/>
              </w:rPr>
            </w:pPr>
          </w:p>
        </w:tc>
        <w:tc>
          <w:tcPr>
            <w:tcW w:w="3605" w:type="dxa"/>
            <w:tcBorders>
              <w:bottom w:val="single" w:sz="4" w:space="0" w:color="auto"/>
            </w:tcBorders>
          </w:tcPr>
          <w:p w14:paraId="3E6A05A2" w14:textId="77777777" w:rsidR="00225AC5" w:rsidRPr="003C29C8" w:rsidRDefault="00225AC5" w:rsidP="00225AC5">
            <w:pPr>
              <w:rPr>
                <w:rFonts w:cs="Arial"/>
              </w:rPr>
            </w:pPr>
          </w:p>
        </w:tc>
      </w:tr>
      <w:tr w:rsidR="001F6343" w:rsidRPr="003C29C8" w14:paraId="445D817D" w14:textId="77777777" w:rsidTr="00225AC5">
        <w:tc>
          <w:tcPr>
            <w:tcW w:w="8075" w:type="dxa"/>
            <w:shd w:val="clear" w:color="auto" w:fill="DBE5F1" w:themeFill="accent1" w:themeFillTint="33"/>
          </w:tcPr>
          <w:p w14:paraId="7A253E0F" w14:textId="77777777" w:rsidR="00225AC5" w:rsidRPr="003C29C8" w:rsidRDefault="00225AC5" w:rsidP="00225AC5">
            <w:pPr>
              <w:keepNext/>
              <w:rPr>
                <w:rFonts w:cs="Arial"/>
                <w:b/>
              </w:rPr>
            </w:pPr>
            <w:r w:rsidRPr="003C29C8">
              <w:rPr>
                <w:rFonts w:cs="Arial"/>
                <w:b/>
              </w:rPr>
              <w:t>Cash Flow Forecasts</w:t>
            </w:r>
          </w:p>
        </w:tc>
        <w:tc>
          <w:tcPr>
            <w:tcW w:w="2126" w:type="dxa"/>
            <w:shd w:val="clear" w:color="auto" w:fill="DBE5F1" w:themeFill="accent1" w:themeFillTint="33"/>
          </w:tcPr>
          <w:p w14:paraId="01CABF10" w14:textId="77777777" w:rsidR="00225AC5" w:rsidRPr="003C29C8" w:rsidRDefault="00225AC5" w:rsidP="00225AC5">
            <w:pPr>
              <w:rPr>
                <w:rFonts w:cs="Arial"/>
              </w:rPr>
            </w:pPr>
          </w:p>
        </w:tc>
        <w:tc>
          <w:tcPr>
            <w:tcW w:w="3605" w:type="dxa"/>
            <w:shd w:val="clear" w:color="auto" w:fill="DBE5F1" w:themeFill="accent1" w:themeFillTint="33"/>
          </w:tcPr>
          <w:p w14:paraId="5A1074CB" w14:textId="77777777" w:rsidR="00225AC5" w:rsidRPr="003C29C8" w:rsidRDefault="00225AC5" w:rsidP="00225AC5">
            <w:pPr>
              <w:rPr>
                <w:rFonts w:cs="Arial"/>
              </w:rPr>
            </w:pPr>
          </w:p>
        </w:tc>
      </w:tr>
      <w:tr w:rsidR="001F6343" w:rsidRPr="003C29C8" w14:paraId="4AC3691E" w14:textId="77777777" w:rsidTr="00225AC5">
        <w:tc>
          <w:tcPr>
            <w:tcW w:w="8075" w:type="dxa"/>
          </w:tcPr>
          <w:p w14:paraId="523D7EE9"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CBA to discuss with the PDMD the information that is available with a view to building forecasts with a long horizon.  In longer-</w:t>
            </w:r>
            <w:r w:rsidRPr="003C29C8">
              <w:rPr>
                <w:rFonts w:cs="Arial"/>
              </w:rPr>
              <w:lastRenderedPageBreak/>
              <w:t>term review of S</w:t>
            </w:r>
            <w:r>
              <w:rPr>
                <w:rFonts w:cs="Arial"/>
              </w:rPr>
              <w:t xml:space="preserve">ervice </w:t>
            </w:r>
            <w:r w:rsidRPr="003C29C8">
              <w:rPr>
                <w:rFonts w:cs="Arial"/>
              </w:rPr>
              <w:t>L</w:t>
            </w:r>
            <w:r>
              <w:rPr>
                <w:rFonts w:cs="Arial"/>
              </w:rPr>
              <w:t>evel Agreement</w:t>
            </w:r>
            <w:r w:rsidRPr="003C29C8">
              <w:rPr>
                <w:rFonts w:cs="Arial"/>
              </w:rPr>
              <w:t xml:space="preserve"> </w:t>
            </w:r>
          </w:p>
        </w:tc>
        <w:tc>
          <w:tcPr>
            <w:tcW w:w="2126" w:type="dxa"/>
          </w:tcPr>
          <w:p w14:paraId="1C3A9D11" w14:textId="77777777" w:rsidR="00225AC5" w:rsidRPr="003C29C8" w:rsidRDefault="00225AC5" w:rsidP="00225AC5">
            <w:pPr>
              <w:rPr>
                <w:rFonts w:cs="Arial"/>
              </w:rPr>
            </w:pPr>
          </w:p>
        </w:tc>
        <w:tc>
          <w:tcPr>
            <w:tcW w:w="3605" w:type="dxa"/>
          </w:tcPr>
          <w:p w14:paraId="0FA868A6" w14:textId="77777777" w:rsidR="00225AC5" w:rsidRPr="003C29C8" w:rsidRDefault="00225AC5" w:rsidP="00225AC5">
            <w:pPr>
              <w:rPr>
                <w:rFonts w:cs="Arial"/>
              </w:rPr>
            </w:pPr>
          </w:p>
        </w:tc>
      </w:tr>
      <w:tr w:rsidR="001F6343" w:rsidRPr="003C29C8" w14:paraId="7C9574A8" w14:textId="77777777" w:rsidTr="00225AC5">
        <w:tc>
          <w:tcPr>
            <w:tcW w:w="8075" w:type="dxa"/>
          </w:tcPr>
          <w:p w14:paraId="45A4824F" w14:textId="77777777" w:rsidR="00225AC5" w:rsidRPr="003C29C8" w:rsidRDefault="00225AC5" w:rsidP="00E06F98">
            <w:pPr>
              <w:pStyle w:val="ListParagraph"/>
              <w:numPr>
                <w:ilvl w:val="0"/>
                <w:numId w:val="12"/>
              </w:numPr>
              <w:spacing w:before="0" w:after="0" w:line="240" w:lineRule="auto"/>
              <w:jc w:val="both"/>
              <w:rPr>
                <w:rFonts w:cs="Arial"/>
              </w:rPr>
            </w:pPr>
            <w:r w:rsidRPr="003C29C8">
              <w:rPr>
                <w:rFonts w:cs="Arial"/>
              </w:rPr>
              <w:lastRenderedPageBreak/>
              <w:t xml:space="preserve">PDMD meet with CBA to identify requirements and how they might be met, and to what timescale </w:t>
            </w:r>
          </w:p>
        </w:tc>
        <w:tc>
          <w:tcPr>
            <w:tcW w:w="2126" w:type="dxa"/>
          </w:tcPr>
          <w:p w14:paraId="5327E571" w14:textId="77777777" w:rsidR="00225AC5" w:rsidRPr="003C29C8" w:rsidRDefault="00225AC5" w:rsidP="00225AC5">
            <w:pPr>
              <w:rPr>
                <w:rFonts w:cs="Arial"/>
              </w:rPr>
            </w:pPr>
            <w:r w:rsidRPr="003C29C8">
              <w:rPr>
                <w:rFonts w:cs="Arial"/>
              </w:rPr>
              <w:t>By end Sept 2018</w:t>
            </w:r>
          </w:p>
        </w:tc>
        <w:tc>
          <w:tcPr>
            <w:tcW w:w="3605" w:type="dxa"/>
          </w:tcPr>
          <w:p w14:paraId="3C9A0A99" w14:textId="77777777" w:rsidR="00225AC5" w:rsidRPr="003C29C8" w:rsidRDefault="00225AC5" w:rsidP="00225AC5">
            <w:pPr>
              <w:rPr>
                <w:rFonts w:cs="Arial"/>
              </w:rPr>
            </w:pPr>
            <w:r w:rsidRPr="003C29C8">
              <w:rPr>
                <w:rFonts w:cs="Arial"/>
              </w:rPr>
              <w:t>Agreed protocol, MoU or exchange of letters</w:t>
            </w:r>
          </w:p>
        </w:tc>
      </w:tr>
      <w:tr w:rsidR="001F6343" w:rsidRPr="003C29C8" w14:paraId="59780538" w14:textId="77777777" w:rsidTr="00225AC5">
        <w:tc>
          <w:tcPr>
            <w:tcW w:w="8075" w:type="dxa"/>
          </w:tcPr>
          <w:p w14:paraId="0CA95283" w14:textId="77777777" w:rsidR="00225AC5" w:rsidRPr="003C29C8" w:rsidRDefault="00225AC5" w:rsidP="00E06F98">
            <w:pPr>
              <w:pStyle w:val="ListParagraph"/>
              <w:numPr>
                <w:ilvl w:val="0"/>
                <w:numId w:val="12"/>
              </w:numPr>
              <w:spacing w:before="0" w:after="0" w:line="240" w:lineRule="auto"/>
              <w:jc w:val="both"/>
              <w:rPr>
                <w:rFonts w:cs="Arial"/>
              </w:rPr>
            </w:pPr>
            <w:r w:rsidRPr="003C29C8">
              <w:rPr>
                <w:rFonts w:cs="Arial"/>
              </w:rPr>
              <w:t>PDMD to review coverage of SLA with a view to making proposals to CBA</w:t>
            </w:r>
          </w:p>
        </w:tc>
        <w:tc>
          <w:tcPr>
            <w:tcW w:w="2126" w:type="dxa"/>
          </w:tcPr>
          <w:p w14:paraId="56CF1A45" w14:textId="77777777" w:rsidR="00225AC5" w:rsidRPr="003C29C8" w:rsidRDefault="00225AC5" w:rsidP="00225AC5">
            <w:pPr>
              <w:rPr>
                <w:rFonts w:cs="Arial"/>
              </w:rPr>
            </w:pPr>
            <w:r w:rsidRPr="003C29C8">
              <w:rPr>
                <w:rFonts w:cs="Arial"/>
              </w:rPr>
              <w:t>By end June 2019</w:t>
            </w:r>
          </w:p>
        </w:tc>
        <w:tc>
          <w:tcPr>
            <w:tcW w:w="3605" w:type="dxa"/>
          </w:tcPr>
          <w:p w14:paraId="622FA91F" w14:textId="77777777" w:rsidR="00225AC5" w:rsidRPr="003C29C8" w:rsidRDefault="00225AC5" w:rsidP="00225AC5">
            <w:pPr>
              <w:rPr>
                <w:rFonts w:cs="Arial"/>
              </w:rPr>
            </w:pPr>
          </w:p>
        </w:tc>
      </w:tr>
      <w:tr w:rsidR="001F6343" w:rsidRPr="003C29C8" w14:paraId="59F2B6E4" w14:textId="77777777" w:rsidTr="00225AC5">
        <w:tc>
          <w:tcPr>
            <w:tcW w:w="8075" w:type="dxa"/>
          </w:tcPr>
          <w:p w14:paraId="6C6D11F4" w14:textId="77777777" w:rsidR="00225AC5" w:rsidRPr="003C29C8" w:rsidRDefault="00225AC5" w:rsidP="00225AC5">
            <w:pPr>
              <w:rPr>
                <w:rFonts w:cs="Arial"/>
              </w:rPr>
            </w:pPr>
            <w:r>
              <w:rPr>
                <w:rFonts w:cs="Arial"/>
                <w:b/>
              </w:rPr>
              <w:t>[</w:t>
            </w:r>
            <w:r w:rsidRPr="00A039D3">
              <w:rPr>
                <w:rFonts w:cs="Arial"/>
                <w:b/>
              </w:rPr>
              <w:t>Recommendation:</w:t>
            </w:r>
            <w:r w:rsidRPr="00A039D3">
              <w:rPr>
                <w:rFonts w:cs="Arial"/>
              </w:rPr>
              <w:t xml:space="preserve"> </w:t>
            </w:r>
            <w:r w:rsidRPr="003C29C8">
              <w:rPr>
                <w:rFonts w:cs="Arial"/>
              </w:rPr>
              <w:t xml:space="preserve">PDMD to identify the nature of the constraint on information flows from the SRC with a view to recommending internally that the forecasts passed to CBA should take account of all information available.  </w:t>
            </w:r>
            <w:r>
              <w:rPr>
                <w:rFonts w:cs="Arial"/>
              </w:rPr>
              <w:t>[</w:t>
            </w:r>
            <w:r w:rsidRPr="00503713">
              <w:rPr>
                <w:rFonts w:cs="Arial"/>
              </w:rPr>
              <w:t xml:space="preserve">In light of subsequent discussion, </w:t>
            </w:r>
            <w:r>
              <w:rPr>
                <w:rFonts w:cs="Arial"/>
              </w:rPr>
              <w:t xml:space="preserve">there is </w:t>
            </w:r>
            <w:r w:rsidRPr="00503713">
              <w:rPr>
                <w:rFonts w:cs="Arial"/>
              </w:rPr>
              <w:t>no need for separate action</w:t>
            </w:r>
            <w:r>
              <w:rPr>
                <w:rFonts w:cs="Arial"/>
              </w:rPr>
              <w:t xml:space="preserve"> under this recommendation</w:t>
            </w:r>
            <w:r w:rsidRPr="00503713">
              <w:rPr>
                <w:rFonts w:cs="Arial"/>
              </w:rPr>
              <w:t xml:space="preserve">; </w:t>
            </w:r>
            <w:r>
              <w:rPr>
                <w:rFonts w:cs="Arial"/>
              </w:rPr>
              <w:t xml:space="preserve">it </w:t>
            </w:r>
            <w:r w:rsidRPr="00503713">
              <w:rPr>
                <w:rFonts w:cs="Arial"/>
              </w:rPr>
              <w:t>will be subsumed within other discussions with SRC, below.</w:t>
            </w:r>
            <w:r>
              <w:rPr>
                <w:rFonts w:cs="Arial"/>
              </w:rPr>
              <w:t>]]</w:t>
            </w:r>
          </w:p>
        </w:tc>
        <w:tc>
          <w:tcPr>
            <w:tcW w:w="2126" w:type="dxa"/>
          </w:tcPr>
          <w:p w14:paraId="2F56AAF6" w14:textId="77777777" w:rsidR="00225AC5" w:rsidRPr="003C29C8" w:rsidRDefault="00225AC5" w:rsidP="00225AC5">
            <w:pPr>
              <w:rPr>
                <w:rFonts w:cs="Arial"/>
              </w:rPr>
            </w:pPr>
          </w:p>
        </w:tc>
        <w:tc>
          <w:tcPr>
            <w:tcW w:w="3605" w:type="dxa"/>
          </w:tcPr>
          <w:p w14:paraId="2AE979CF" w14:textId="77777777" w:rsidR="00225AC5" w:rsidRPr="003C29C8" w:rsidRDefault="00225AC5" w:rsidP="00225AC5">
            <w:pPr>
              <w:rPr>
                <w:rFonts w:cs="Arial"/>
              </w:rPr>
            </w:pPr>
          </w:p>
        </w:tc>
      </w:tr>
      <w:tr w:rsidR="001F6343" w:rsidRPr="003C29C8" w14:paraId="26BC2E53" w14:textId="77777777" w:rsidTr="00225AC5">
        <w:tc>
          <w:tcPr>
            <w:tcW w:w="8075" w:type="dxa"/>
          </w:tcPr>
          <w:p w14:paraId="4F5F279D"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PDMD to establish processes for preparing weekly forecasts that extend at least 3 months ahead; and to build processes for the systematic analysis of forecast errors</w:t>
            </w:r>
            <w:r>
              <w:rPr>
                <w:rFonts w:cs="Arial"/>
              </w:rPr>
              <w:t>.</w:t>
            </w:r>
          </w:p>
        </w:tc>
        <w:tc>
          <w:tcPr>
            <w:tcW w:w="2126" w:type="dxa"/>
          </w:tcPr>
          <w:p w14:paraId="107F8343" w14:textId="77777777" w:rsidR="00225AC5" w:rsidRPr="003C29C8" w:rsidRDefault="00225AC5" w:rsidP="00225AC5">
            <w:pPr>
              <w:rPr>
                <w:rFonts w:cs="Arial"/>
              </w:rPr>
            </w:pPr>
          </w:p>
        </w:tc>
        <w:tc>
          <w:tcPr>
            <w:tcW w:w="3605" w:type="dxa"/>
          </w:tcPr>
          <w:p w14:paraId="06DB50EC" w14:textId="77777777" w:rsidR="00225AC5" w:rsidRPr="003C29C8" w:rsidRDefault="00225AC5" w:rsidP="00225AC5">
            <w:pPr>
              <w:rPr>
                <w:rFonts w:cs="Arial"/>
              </w:rPr>
            </w:pPr>
          </w:p>
        </w:tc>
      </w:tr>
      <w:tr w:rsidR="001F6343" w:rsidRPr="003C29C8" w14:paraId="4AFB5F5C" w14:textId="77777777" w:rsidTr="00225AC5">
        <w:tc>
          <w:tcPr>
            <w:tcW w:w="8075" w:type="dxa"/>
          </w:tcPr>
          <w:p w14:paraId="1C49EFA9" w14:textId="77777777" w:rsidR="00225AC5" w:rsidRPr="003C29C8" w:rsidRDefault="00225AC5" w:rsidP="00E06F98">
            <w:pPr>
              <w:pStyle w:val="ListParagraph"/>
              <w:numPr>
                <w:ilvl w:val="0"/>
                <w:numId w:val="13"/>
              </w:numPr>
              <w:spacing w:before="0" w:after="0" w:line="240" w:lineRule="auto"/>
              <w:jc w:val="both"/>
              <w:rPr>
                <w:rFonts w:cs="Arial"/>
              </w:rPr>
            </w:pPr>
            <w:r w:rsidRPr="003C29C8">
              <w:rPr>
                <w:rFonts w:cs="Arial"/>
              </w:rPr>
              <w:t>Building of spreadsheets, identification of data sources</w:t>
            </w:r>
            <w:r>
              <w:rPr>
                <w:rFonts w:cs="Arial"/>
              </w:rPr>
              <w:t xml:space="preserve"> and issues arising</w:t>
            </w:r>
          </w:p>
        </w:tc>
        <w:tc>
          <w:tcPr>
            <w:tcW w:w="2126" w:type="dxa"/>
          </w:tcPr>
          <w:p w14:paraId="5B7BE123" w14:textId="77777777" w:rsidR="00225AC5" w:rsidRPr="003C29C8" w:rsidRDefault="00225AC5" w:rsidP="00225AC5">
            <w:pPr>
              <w:rPr>
                <w:rFonts w:cs="Arial"/>
              </w:rPr>
            </w:pPr>
            <w:r w:rsidRPr="003C29C8">
              <w:rPr>
                <w:rFonts w:cs="Arial"/>
              </w:rPr>
              <w:t>Sept-Oct 2018</w:t>
            </w:r>
          </w:p>
        </w:tc>
        <w:tc>
          <w:tcPr>
            <w:tcW w:w="3605" w:type="dxa"/>
          </w:tcPr>
          <w:p w14:paraId="3A78E524" w14:textId="77777777" w:rsidR="00225AC5" w:rsidRPr="003C29C8" w:rsidRDefault="00225AC5" w:rsidP="00225AC5">
            <w:pPr>
              <w:rPr>
                <w:rFonts w:cs="Arial"/>
              </w:rPr>
            </w:pPr>
          </w:p>
        </w:tc>
      </w:tr>
      <w:tr w:rsidR="001F6343" w:rsidRPr="003C29C8" w14:paraId="43A84E01" w14:textId="77777777" w:rsidTr="00225AC5">
        <w:tc>
          <w:tcPr>
            <w:tcW w:w="8075" w:type="dxa"/>
          </w:tcPr>
          <w:p w14:paraId="288618A0" w14:textId="28B257CF" w:rsidR="00225AC5" w:rsidRPr="003C29C8" w:rsidRDefault="00225AC5" w:rsidP="00E06F98">
            <w:pPr>
              <w:pStyle w:val="ListParagraph"/>
              <w:numPr>
                <w:ilvl w:val="0"/>
                <w:numId w:val="13"/>
              </w:numPr>
              <w:spacing w:before="0" w:after="0" w:line="240" w:lineRule="auto"/>
              <w:jc w:val="both"/>
              <w:rPr>
                <w:rFonts w:cs="Arial"/>
              </w:rPr>
            </w:pPr>
            <w:r w:rsidRPr="003C29C8">
              <w:rPr>
                <w:rFonts w:cs="Arial"/>
              </w:rPr>
              <w:t xml:space="preserve">Presentation of 13 week </w:t>
            </w:r>
            <w:r w:rsidR="00BD69FD">
              <w:rPr>
                <w:rFonts w:cs="Arial"/>
              </w:rPr>
              <w:t>(</w:t>
            </w:r>
            <w:r w:rsidR="00BD69FD" w:rsidRPr="003C29C8">
              <w:rPr>
                <w:rFonts w:cs="Arial"/>
              </w:rPr>
              <w:t>3 months</w:t>
            </w:r>
            <w:r w:rsidR="00BD69FD">
              <w:rPr>
                <w:rFonts w:cs="Arial"/>
              </w:rPr>
              <w:t xml:space="preserve">) </w:t>
            </w:r>
            <w:r w:rsidRPr="003C29C8">
              <w:rPr>
                <w:rFonts w:cs="Arial"/>
              </w:rPr>
              <w:t>forecasts</w:t>
            </w:r>
          </w:p>
        </w:tc>
        <w:tc>
          <w:tcPr>
            <w:tcW w:w="2126" w:type="dxa"/>
          </w:tcPr>
          <w:p w14:paraId="3B6B818D" w14:textId="0276B909" w:rsidR="00225AC5" w:rsidRPr="003C29C8" w:rsidRDefault="00225AC5" w:rsidP="00225AC5">
            <w:pPr>
              <w:rPr>
                <w:rFonts w:cs="Arial"/>
              </w:rPr>
            </w:pPr>
            <w:r w:rsidRPr="003C29C8">
              <w:rPr>
                <w:rFonts w:cs="Arial"/>
              </w:rPr>
              <w:t xml:space="preserve">By end  Oct for rest of 2018; with full 13 weeks </w:t>
            </w:r>
            <w:r w:rsidR="00BD69FD">
              <w:rPr>
                <w:rFonts w:cs="Arial"/>
              </w:rPr>
              <w:t>(</w:t>
            </w:r>
            <w:r w:rsidR="00BD69FD" w:rsidRPr="003C29C8">
              <w:rPr>
                <w:rFonts w:cs="Arial"/>
              </w:rPr>
              <w:t>3 months</w:t>
            </w:r>
            <w:r w:rsidR="00BD69FD">
              <w:rPr>
                <w:rFonts w:cs="Arial"/>
              </w:rPr>
              <w:t xml:space="preserve">) </w:t>
            </w:r>
            <w:r w:rsidRPr="003C29C8">
              <w:rPr>
                <w:rFonts w:cs="Arial"/>
              </w:rPr>
              <w:t xml:space="preserve">in early 2019 </w:t>
            </w:r>
          </w:p>
        </w:tc>
        <w:tc>
          <w:tcPr>
            <w:tcW w:w="3605" w:type="dxa"/>
          </w:tcPr>
          <w:p w14:paraId="2655C661" w14:textId="77777777" w:rsidR="00225AC5" w:rsidRPr="003C29C8" w:rsidRDefault="00225AC5" w:rsidP="00225AC5">
            <w:pPr>
              <w:rPr>
                <w:rFonts w:cs="Arial"/>
              </w:rPr>
            </w:pPr>
            <w:r w:rsidRPr="003C29C8">
              <w:rPr>
                <w:rFonts w:cs="Arial"/>
              </w:rPr>
              <w:t>Forecast presentation</w:t>
            </w:r>
          </w:p>
        </w:tc>
      </w:tr>
      <w:tr w:rsidR="001F6343" w:rsidRPr="003C29C8" w14:paraId="121B0DFA" w14:textId="77777777" w:rsidTr="00225AC5">
        <w:tc>
          <w:tcPr>
            <w:tcW w:w="8075" w:type="dxa"/>
          </w:tcPr>
          <w:p w14:paraId="2AC5633E" w14:textId="77777777" w:rsidR="00225AC5" w:rsidRPr="003C29C8" w:rsidRDefault="00225AC5" w:rsidP="00E06F98">
            <w:pPr>
              <w:pStyle w:val="ListParagraph"/>
              <w:numPr>
                <w:ilvl w:val="0"/>
                <w:numId w:val="13"/>
              </w:numPr>
              <w:spacing w:before="0" w:after="0" w:line="240" w:lineRule="auto"/>
              <w:jc w:val="both"/>
              <w:rPr>
                <w:rFonts w:cs="Arial"/>
              </w:rPr>
            </w:pPr>
            <w:r w:rsidRPr="003C29C8">
              <w:rPr>
                <w:rFonts w:cs="Arial"/>
              </w:rPr>
              <w:t>End</w:t>
            </w:r>
            <w:r>
              <w:rPr>
                <w:rFonts w:cs="Arial"/>
              </w:rPr>
              <w:t>-</w:t>
            </w:r>
            <w:r w:rsidRPr="003C29C8">
              <w:rPr>
                <w:rFonts w:cs="Arial"/>
              </w:rPr>
              <w:t xml:space="preserve">year review of forecast performance identifying areas for improvement with recommendations  </w:t>
            </w:r>
          </w:p>
        </w:tc>
        <w:tc>
          <w:tcPr>
            <w:tcW w:w="2126" w:type="dxa"/>
          </w:tcPr>
          <w:p w14:paraId="717D040F" w14:textId="77777777" w:rsidR="00225AC5" w:rsidRPr="003C29C8" w:rsidRDefault="00225AC5" w:rsidP="00225AC5">
            <w:pPr>
              <w:rPr>
                <w:rFonts w:cs="Arial"/>
              </w:rPr>
            </w:pPr>
            <w:r w:rsidRPr="003C29C8">
              <w:rPr>
                <w:rFonts w:cs="Arial"/>
              </w:rPr>
              <w:t>By end March 2019</w:t>
            </w:r>
          </w:p>
        </w:tc>
        <w:tc>
          <w:tcPr>
            <w:tcW w:w="3605" w:type="dxa"/>
          </w:tcPr>
          <w:p w14:paraId="641198AD" w14:textId="77777777" w:rsidR="00225AC5" w:rsidRPr="003C29C8" w:rsidRDefault="00225AC5" w:rsidP="00225AC5">
            <w:pPr>
              <w:rPr>
                <w:rFonts w:cs="Arial"/>
              </w:rPr>
            </w:pPr>
            <w:r w:rsidRPr="003C29C8">
              <w:rPr>
                <w:rFonts w:cs="Arial"/>
              </w:rPr>
              <w:t>Paper for senior officials with action plan for recommendations</w:t>
            </w:r>
          </w:p>
        </w:tc>
      </w:tr>
      <w:tr w:rsidR="001F6343" w:rsidRPr="003C29C8" w14:paraId="3B02ABA9" w14:textId="77777777" w:rsidTr="00225AC5">
        <w:tc>
          <w:tcPr>
            <w:tcW w:w="8075" w:type="dxa"/>
          </w:tcPr>
          <w:p w14:paraId="32F3DD3A"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PDMD to request (through Ministers) the Tax and Customs Services to complete a simple template each month, setting out their best forecasts for the next 3 months; and subsequently to provide forecasts weekly extending at least 3 months ahead</w:t>
            </w:r>
          </w:p>
        </w:tc>
        <w:tc>
          <w:tcPr>
            <w:tcW w:w="2126" w:type="dxa"/>
          </w:tcPr>
          <w:p w14:paraId="507AD6C2" w14:textId="77777777" w:rsidR="00225AC5" w:rsidRPr="003C29C8" w:rsidRDefault="00225AC5" w:rsidP="00225AC5">
            <w:pPr>
              <w:rPr>
                <w:rFonts w:cs="Arial"/>
              </w:rPr>
            </w:pPr>
          </w:p>
        </w:tc>
        <w:tc>
          <w:tcPr>
            <w:tcW w:w="3605" w:type="dxa"/>
          </w:tcPr>
          <w:p w14:paraId="138D9E68" w14:textId="77777777" w:rsidR="00225AC5" w:rsidRPr="003C29C8" w:rsidRDefault="00225AC5" w:rsidP="00225AC5">
            <w:pPr>
              <w:rPr>
                <w:rFonts w:cs="Arial"/>
              </w:rPr>
            </w:pPr>
          </w:p>
        </w:tc>
      </w:tr>
      <w:tr w:rsidR="001F6343" w:rsidRPr="003C29C8" w14:paraId="5D236FBD" w14:textId="77777777" w:rsidTr="00225AC5">
        <w:tc>
          <w:tcPr>
            <w:tcW w:w="8075" w:type="dxa"/>
          </w:tcPr>
          <w:p w14:paraId="70804EDA" w14:textId="77777777" w:rsidR="00225AC5" w:rsidRPr="003C29C8" w:rsidRDefault="00225AC5" w:rsidP="00E06F98">
            <w:pPr>
              <w:pStyle w:val="ListParagraph"/>
              <w:numPr>
                <w:ilvl w:val="0"/>
                <w:numId w:val="14"/>
              </w:numPr>
              <w:spacing w:before="0" w:after="0" w:line="240" w:lineRule="auto"/>
              <w:jc w:val="both"/>
              <w:rPr>
                <w:rFonts w:cs="Arial"/>
              </w:rPr>
            </w:pPr>
            <w:r w:rsidRPr="003C29C8">
              <w:rPr>
                <w:rFonts w:cs="Arial"/>
              </w:rPr>
              <w:t xml:space="preserve">Recommendation to Ministers, with letter to Chair/SRC proposing technical-level discussions </w:t>
            </w:r>
          </w:p>
        </w:tc>
        <w:tc>
          <w:tcPr>
            <w:tcW w:w="2126" w:type="dxa"/>
          </w:tcPr>
          <w:p w14:paraId="055E06F2" w14:textId="77777777" w:rsidR="00225AC5" w:rsidRPr="003C29C8" w:rsidRDefault="00225AC5" w:rsidP="00225AC5">
            <w:pPr>
              <w:rPr>
                <w:rFonts w:cs="Arial"/>
              </w:rPr>
            </w:pPr>
            <w:r w:rsidRPr="003C29C8">
              <w:rPr>
                <w:rFonts w:cs="Arial"/>
              </w:rPr>
              <w:t>By end Sept 2018</w:t>
            </w:r>
          </w:p>
        </w:tc>
        <w:tc>
          <w:tcPr>
            <w:tcW w:w="3605" w:type="dxa"/>
          </w:tcPr>
          <w:p w14:paraId="033D2E3C" w14:textId="77777777" w:rsidR="00225AC5" w:rsidRPr="003C29C8" w:rsidRDefault="00225AC5" w:rsidP="00225AC5">
            <w:pPr>
              <w:rPr>
                <w:rFonts w:cs="Arial"/>
              </w:rPr>
            </w:pPr>
            <w:r w:rsidRPr="003C29C8">
              <w:rPr>
                <w:rFonts w:cs="Arial"/>
              </w:rPr>
              <w:t>Letter sent from Minister</w:t>
            </w:r>
          </w:p>
        </w:tc>
      </w:tr>
      <w:tr w:rsidR="001F6343" w:rsidRPr="003C29C8" w14:paraId="2FF8D5FA" w14:textId="77777777" w:rsidTr="00225AC5">
        <w:tc>
          <w:tcPr>
            <w:tcW w:w="8075" w:type="dxa"/>
          </w:tcPr>
          <w:p w14:paraId="33828B7E" w14:textId="77777777" w:rsidR="00225AC5" w:rsidRPr="003C29C8" w:rsidRDefault="00225AC5" w:rsidP="00E06F98">
            <w:pPr>
              <w:pStyle w:val="ListParagraph"/>
              <w:numPr>
                <w:ilvl w:val="0"/>
                <w:numId w:val="14"/>
              </w:numPr>
              <w:spacing w:before="0" w:after="0" w:line="240" w:lineRule="auto"/>
              <w:jc w:val="both"/>
              <w:rPr>
                <w:rFonts w:cs="Arial"/>
              </w:rPr>
            </w:pPr>
            <w:r>
              <w:rPr>
                <w:rFonts w:cs="Arial"/>
              </w:rPr>
              <w:t>Discussion with Customs and Revenue Services; agreed template</w:t>
            </w:r>
          </w:p>
        </w:tc>
        <w:tc>
          <w:tcPr>
            <w:tcW w:w="2126" w:type="dxa"/>
          </w:tcPr>
          <w:p w14:paraId="322E257C" w14:textId="77777777" w:rsidR="00225AC5" w:rsidRPr="003C29C8" w:rsidRDefault="00225AC5" w:rsidP="00225AC5">
            <w:pPr>
              <w:rPr>
                <w:rFonts w:cs="Arial"/>
              </w:rPr>
            </w:pPr>
            <w:r>
              <w:rPr>
                <w:rFonts w:cs="Arial"/>
              </w:rPr>
              <w:t>Oct-Nov 2018</w:t>
            </w:r>
          </w:p>
        </w:tc>
        <w:tc>
          <w:tcPr>
            <w:tcW w:w="3605" w:type="dxa"/>
          </w:tcPr>
          <w:p w14:paraId="2F60CF2E" w14:textId="77777777" w:rsidR="00225AC5" w:rsidRPr="003C29C8" w:rsidRDefault="00225AC5" w:rsidP="00225AC5">
            <w:pPr>
              <w:rPr>
                <w:rFonts w:cs="Arial"/>
              </w:rPr>
            </w:pPr>
          </w:p>
        </w:tc>
      </w:tr>
      <w:tr w:rsidR="001F6343" w:rsidRPr="003C29C8" w14:paraId="1CAE85E5" w14:textId="77777777" w:rsidTr="00225AC5">
        <w:tc>
          <w:tcPr>
            <w:tcW w:w="8075" w:type="dxa"/>
          </w:tcPr>
          <w:p w14:paraId="7835AF7C" w14:textId="77777777" w:rsidR="00225AC5" w:rsidRPr="003C29C8" w:rsidRDefault="00225AC5" w:rsidP="00E06F98">
            <w:pPr>
              <w:pStyle w:val="ListParagraph"/>
              <w:numPr>
                <w:ilvl w:val="0"/>
                <w:numId w:val="14"/>
              </w:numPr>
              <w:spacing w:before="0" w:after="0" w:line="240" w:lineRule="auto"/>
              <w:jc w:val="both"/>
              <w:rPr>
                <w:rFonts w:cs="Arial"/>
              </w:rPr>
            </w:pPr>
            <w:r w:rsidRPr="003C29C8">
              <w:rPr>
                <w:rFonts w:cs="Arial"/>
              </w:rPr>
              <w:t>SRC submitting 3-month forecasts, based on PDMD template</w:t>
            </w:r>
          </w:p>
        </w:tc>
        <w:tc>
          <w:tcPr>
            <w:tcW w:w="2126" w:type="dxa"/>
          </w:tcPr>
          <w:p w14:paraId="3E9A15D1" w14:textId="77777777" w:rsidR="00225AC5" w:rsidRPr="003C29C8" w:rsidRDefault="00225AC5" w:rsidP="00225AC5">
            <w:pPr>
              <w:rPr>
                <w:rFonts w:cs="Arial"/>
              </w:rPr>
            </w:pPr>
            <w:r w:rsidRPr="003C29C8">
              <w:rPr>
                <w:rFonts w:cs="Arial"/>
              </w:rPr>
              <w:t xml:space="preserve">By end </w:t>
            </w:r>
            <w:r>
              <w:rPr>
                <w:rFonts w:cs="Arial"/>
              </w:rPr>
              <w:t xml:space="preserve">Jan </w:t>
            </w:r>
            <w:r w:rsidRPr="003C29C8">
              <w:rPr>
                <w:rFonts w:cs="Arial"/>
              </w:rPr>
              <w:t>201</w:t>
            </w:r>
            <w:r>
              <w:rPr>
                <w:rFonts w:cs="Arial"/>
              </w:rPr>
              <w:t>9</w:t>
            </w:r>
            <w:r w:rsidRPr="003C29C8">
              <w:rPr>
                <w:rFonts w:cs="Arial"/>
              </w:rPr>
              <w:t xml:space="preserve"> </w:t>
            </w:r>
            <w:r w:rsidRPr="003C29C8">
              <w:rPr>
                <w:rFonts w:cs="Arial"/>
              </w:rPr>
              <w:lastRenderedPageBreak/>
              <w:t xml:space="preserve">for </w:t>
            </w:r>
            <w:r>
              <w:rPr>
                <w:rFonts w:cs="Arial"/>
              </w:rPr>
              <w:t xml:space="preserve">Feb-Apr </w:t>
            </w:r>
            <w:r w:rsidRPr="003C29C8">
              <w:rPr>
                <w:rFonts w:cs="Arial"/>
              </w:rPr>
              <w:t>2019, then monthly</w:t>
            </w:r>
            <w:r>
              <w:rPr>
                <w:rFonts w:cs="Arial"/>
              </w:rPr>
              <w:t xml:space="preserve"> roll forward</w:t>
            </w:r>
          </w:p>
        </w:tc>
        <w:tc>
          <w:tcPr>
            <w:tcW w:w="3605" w:type="dxa"/>
          </w:tcPr>
          <w:p w14:paraId="3843D0D0" w14:textId="77777777" w:rsidR="00225AC5" w:rsidRPr="003C29C8" w:rsidRDefault="00225AC5" w:rsidP="00225AC5">
            <w:pPr>
              <w:rPr>
                <w:rFonts w:cs="Arial"/>
              </w:rPr>
            </w:pPr>
            <w:r w:rsidRPr="003C29C8">
              <w:rPr>
                <w:rFonts w:cs="Arial"/>
              </w:rPr>
              <w:lastRenderedPageBreak/>
              <w:t>Receipt of SRC forecasts</w:t>
            </w:r>
          </w:p>
        </w:tc>
      </w:tr>
      <w:tr w:rsidR="001F6343" w:rsidRPr="003C29C8" w14:paraId="75505325" w14:textId="77777777" w:rsidTr="00225AC5">
        <w:tc>
          <w:tcPr>
            <w:tcW w:w="8075" w:type="dxa"/>
          </w:tcPr>
          <w:p w14:paraId="6E535CDC" w14:textId="1960091F" w:rsidR="00225AC5" w:rsidRPr="003C29C8" w:rsidRDefault="00225AC5" w:rsidP="00E06F98">
            <w:pPr>
              <w:pStyle w:val="ListParagraph"/>
              <w:numPr>
                <w:ilvl w:val="0"/>
                <w:numId w:val="14"/>
              </w:numPr>
              <w:spacing w:before="0" w:after="0" w:line="240" w:lineRule="auto"/>
              <w:jc w:val="both"/>
              <w:rPr>
                <w:rFonts w:cs="Arial"/>
              </w:rPr>
            </w:pPr>
            <w:r w:rsidRPr="003C29C8">
              <w:rPr>
                <w:rFonts w:cs="Arial"/>
              </w:rPr>
              <w:lastRenderedPageBreak/>
              <w:t>SRC submitting 13 week</w:t>
            </w:r>
            <w:r w:rsidR="00BC012D">
              <w:rPr>
                <w:rFonts w:cs="Arial"/>
              </w:rPr>
              <w:t xml:space="preserve"> (3-months)</w:t>
            </w:r>
            <w:r w:rsidRPr="003C29C8">
              <w:rPr>
                <w:rFonts w:cs="Arial"/>
              </w:rPr>
              <w:t xml:space="preserve"> forecasts based on PDMD template</w:t>
            </w:r>
          </w:p>
        </w:tc>
        <w:tc>
          <w:tcPr>
            <w:tcW w:w="2126" w:type="dxa"/>
          </w:tcPr>
          <w:p w14:paraId="0F1E4662" w14:textId="77777777" w:rsidR="00225AC5" w:rsidRPr="003C29C8" w:rsidRDefault="00225AC5" w:rsidP="00225AC5">
            <w:pPr>
              <w:rPr>
                <w:rFonts w:cs="Arial"/>
              </w:rPr>
            </w:pPr>
            <w:r w:rsidRPr="003C29C8">
              <w:rPr>
                <w:rFonts w:cs="Arial"/>
              </w:rPr>
              <w:t>[to be established]</w:t>
            </w:r>
          </w:p>
        </w:tc>
        <w:tc>
          <w:tcPr>
            <w:tcW w:w="3605" w:type="dxa"/>
          </w:tcPr>
          <w:p w14:paraId="177EC4CB" w14:textId="77777777" w:rsidR="00225AC5" w:rsidRPr="003C29C8" w:rsidRDefault="00225AC5" w:rsidP="00225AC5">
            <w:pPr>
              <w:rPr>
                <w:rFonts w:cs="Arial"/>
              </w:rPr>
            </w:pPr>
          </w:p>
        </w:tc>
      </w:tr>
      <w:tr w:rsidR="001F6343" w:rsidRPr="003C29C8" w14:paraId="7BA9C1C0" w14:textId="77777777" w:rsidTr="00225AC5">
        <w:tc>
          <w:tcPr>
            <w:tcW w:w="8075" w:type="dxa"/>
          </w:tcPr>
          <w:p w14:paraId="2592A383"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PDMD to request the EPFPD to put in place arrangements whereby each month it updates the monthly profile for the budget year of expected donor flows.</w:t>
            </w:r>
          </w:p>
        </w:tc>
        <w:tc>
          <w:tcPr>
            <w:tcW w:w="2126" w:type="dxa"/>
          </w:tcPr>
          <w:p w14:paraId="05978FD1" w14:textId="77777777" w:rsidR="00225AC5" w:rsidRPr="003C29C8" w:rsidRDefault="00225AC5" w:rsidP="00225AC5">
            <w:pPr>
              <w:rPr>
                <w:rFonts w:cs="Arial"/>
              </w:rPr>
            </w:pPr>
          </w:p>
        </w:tc>
        <w:tc>
          <w:tcPr>
            <w:tcW w:w="3605" w:type="dxa"/>
          </w:tcPr>
          <w:p w14:paraId="2274F362" w14:textId="77777777" w:rsidR="00225AC5" w:rsidRPr="003C29C8" w:rsidRDefault="00225AC5" w:rsidP="00225AC5">
            <w:pPr>
              <w:rPr>
                <w:rFonts w:cs="Arial"/>
              </w:rPr>
            </w:pPr>
          </w:p>
        </w:tc>
      </w:tr>
      <w:tr w:rsidR="001F6343" w:rsidRPr="003C29C8" w14:paraId="10DCE16A" w14:textId="77777777" w:rsidTr="00225AC5">
        <w:tc>
          <w:tcPr>
            <w:tcW w:w="8075" w:type="dxa"/>
          </w:tcPr>
          <w:p w14:paraId="3A7AEA12" w14:textId="77777777" w:rsidR="00225AC5" w:rsidRPr="003C29C8" w:rsidRDefault="00225AC5" w:rsidP="00E06F98">
            <w:pPr>
              <w:pStyle w:val="ListParagraph"/>
              <w:numPr>
                <w:ilvl w:val="0"/>
                <w:numId w:val="15"/>
              </w:numPr>
              <w:spacing w:before="0" w:after="0" w:line="240" w:lineRule="auto"/>
              <w:jc w:val="both"/>
              <w:rPr>
                <w:rFonts w:cs="Arial"/>
              </w:rPr>
            </w:pPr>
            <w:r w:rsidRPr="003C29C8">
              <w:rPr>
                <w:rFonts w:cs="Arial"/>
              </w:rPr>
              <w:t>Discussions with EPFPD</w:t>
            </w:r>
          </w:p>
        </w:tc>
        <w:tc>
          <w:tcPr>
            <w:tcW w:w="2126" w:type="dxa"/>
          </w:tcPr>
          <w:p w14:paraId="1872902E" w14:textId="77777777" w:rsidR="00225AC5" w:rsidRPr="003C29C8" w:rsidRDefault="00225AC5" w:rsidP="00225AC5">
            <w:pPr>
              <w:rPr>
                <w:rFonts w:cs="Arial"/>
              </w:rPr>
            </w:pPr>
            <w:r w:rsidRPr="003C29C8">
              <w:rPr>
                <w:rFonts w:cs="Arial"/>
              </w:rPr>
              <w:t>Oct-Nov 2018 to establish for 2019</w:t>
            </w:r>
          </w:p>
        </w:tc>
        <w:tc>
          <w:tcPr>
            <w:tcW w:w="3605" w:type="dxa"/>
          </w:tcPr>
          <w:p w14:paraId="7E11EDCE" w14:textId="77777777" w:rsidR="00225AC5" w:rsidRPr="003C29C8" w:rsidRDefault="00225AC5" w:rsidP="00225AC5">
            <w:pPr>
              <w:rPr>
                <w:rFonts w:cs="Arial"/>
              </w:rPr>
            </w:pPr>
          </w:p>
        </w:tc>
      </w:tr>
      <w:tr w:rsidR="001F6343" w:rsidRPr="003C29C8" w14:paraId="745513A0" w14:textId="77777777" w:rsidTr="00225AC5">
        <w:tc>
          <w:tcPr>
            <w:tcW w:w="8075" w:type="dxa"/>
          </w:tcPr>
          <w:p w14:paraId="04C05071" w14:textId="77777777" w:rsidR="00225AC5" w:rsidRPr="003C29C8" w:rsidRDefault="00225AC5" w:rsidP="00E06F98">
            <w:pPr>
              <w:pStyle w:val="ListParagraph"/>
              <w:numPr>
                <w:ilvl w:val="0"/>
                <w:numId w:val="15"/>
              </w:numPr>
              <w:spacing w:before="0" w:after="0" w:line="240" w:lineRule="auto"/>
              <w:jc w:val="both"/>
              <w:rPr>
                <w:rFonts w:cs="Arial"/>
              </w:rPr>
            </w:pPr>
            <w:r w:rsidRPr="003C29C8">
              <w:rPr>
                <w:rFonts w:cs="Arial"/>
              </w:rPr>
              <w:t>Updates of monthly profile</w:t>
            </w:r>
          </w:p>
        </w:tc>
        <w:tc>
          <w:tcPr>
            <w:tcW w:w="2126" w:type="dxa"/>
          </w:tcPr>
          <w:p w14:paraId="60DAA39D" w14:textId="77777777" w:rsidR="00225AC5" w:rsidRPr="003C29C8" w:rsidRDefault="00225AC5" w:rsidP="00225AC5">
            <w:pPr>
              <w:rPr>
                <w:rFonts w:cs="Arial"/>
              </w:rPr>
            </w:pPr>
            <w:r w:rsidRPr="003C29C8">
              <w:rPr>
                <w:rFonts w:cs="Arial"/>
              </w:rPr>
              <w:t>Feb 2019</w:t>
            </w:r>
          </w:p>
        </w:tc>
        <w:tc>
          <w:tcPr>
            <w:tcW w:w="3605" w:type="dxa"/>
          </w:tcPr>
          <w:p w14:paraId="3EC3B073" w14:textId="77777777" w:rsidR="00225AC5" w:rsidRPr="003C29C8" w:rsidRDefault="00225AC5" w:rsidP="00225AC5">
            <w:pPr>
              <w:rPr>
                <w:rFonts w:cs="Arial"/>
              </w:rPr>
            </w:pPr>
            <w:r w:rsidRPr="003C29C8">
              <w:rPr>
                <w:rFonts w:cs="Arial"/>
              </w:rPr>
              <w:t>Receipt of updates</w:t>
            </w:r>
          </w:p>
        </w:tc>
      </w:tr>
      <w:tr w:rsidR="001F6343" w:rsidRPr="003C29C8" w14:paraId="67871274" w14:textId="77777777" w:rsidTr="00225AC5">
        <w:tc>
          <w:tcPr>
            <w:tcW w:w="8075" w:type="dxa"/>
          </w:tcPr>
          <w:p w14:paraId="7EDED7E2"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PDMD to develop its operational-level contacts in the major line ministries, and potentially also in major EBFs and communities, to develop a flow of forecast information</w:t>
            </w:r>
          </w:p>
        </w:tc>
        <w:tc>
          <w:tcPr>
            <w:tcW w:w="2126" w:type="dxa"/>
          </w:tcPr>
          <w:p w14:paraId="460CF58F" w14:textId="77777777" w:rsidR="00225AC5" w:rsidRPr="003C29C8" w:rsidRDefault="00225AC5" w:rsidP="00225AC5">
            <w:pPr>
              <w:rPr>
                <w:rFonts w:cs="Arial"/>
              </w:rPr>
            </w:pPr>
          </w:p>
        </w:tc>
        <w:tc>
          <w:tcPr>
            <w:tcW w:w="3605" w:type="dxa"/>
          </w:tcPr>
          <w:p w14:paraId="7A353D8C" w14:textId="77777777" w:rsidR="00225AC5" w:rsidRPr="003C29C8" w:rsidRDefault="00225AC5" w:rsidP="00225AC5">
            <w:pPr>
              <w:rPr>
                <w:rFonts w:cs="Arial"/>
              </w:rPr>
            </w:pPr>
          </w:p>
        </w:tc>
      </w:tr>
      <w:tr w:rsidR="001F6343" w:rsidRPr="003C29C8" w14:paraId="79857C0B" w14:textId="77777777" w:rsidTr="00225AC5">
        <w:tc>
          <w:tcPr>
            <w:tcW w:w="8075" w:type="dxa"/>
          </w:tcPr>
          <w:p w14:paraId="43DBC9E0" w14:textId="0DE2A9B7" w:rsidR="00225AC5" w:rsidRPr="003C29C8" w:rsidRDefault="00225AC5" w:rsidP="00E06F98">
            <w:pPr>
              <w:pStyle w:val="ListParagraph"/>
              <w:numPr>
                <w:ilvl w:val="0"/>
                <w:numId w:val="16"/>
              </w:numPr>
              <w:spacing w:before="0" w:after="0" w:line="240" w:lineRule="auto"/>
              <w:jc w:val="both"/>
              <w:rPr>
                <w:rFonts w:cs="Arial"/>
              </w:rPr>
            </w:pPr>
            <w:r>
              <w:rPr>
                <w:rFonts w:cs="Arial"/>
              </w:rPr>
              <w:t xml:space="preserve">Prepare </w:t>
            </w:r>
            <w:r w:rsidRPr="003C29C8">
              <w:rPr>
                <w:rFonts w:cs="Arial"/>
              </w:rPr>
              <w:t xml:space="preserve">a </w:t>
            </w:r>
            <w:r w:rsidR="00BC012D" w:rsidRPr="003C29C8">
              <w:rPr>
                <w:rFonts w:cs="Arial"/>
              </w:rPr>
              <w:t>prioritized</w:t>
            </w:r>
            <w:r w:rsidRPr="003C29C8">
              <w:rPr>
                <w:rFonts w:cs="Arial"/>
              </w:rPr>
              <w:t xml:space="preserve"> list of actions</w:t>
            </w:r>
            <w:r>
              <w:rPr>
                <w:rFonts w:cs="Arial"/>
              </w:rPr>
              <w:t>, including</w:t>
            </w:r>
            <w:r w:rsidRPr="003C29C8">
              <w:rPr>
                <w:rFonts w:cs="Arial"/>
              </w:rPr>
              <w:t xml:space="preserve"> </w:t>
            </w:r>
            <w:r>
              <w:rPr>
                <w:rFonts w:cs="Arial"/>
              </w:rPr>
              <w:t>i</w:t>
            </w:r>
            <w:r w:rsidRPr="003C29C8">
              <w:rPr>
                <w:rFonts w:cs="Arial"/>
              </w:rPr>
              <w:t>dentify</w:t>
            </w:r>
            <w:r>
              <w:rPr>
                <w:rFonts w:cs="Arial"/>
              </w:rPr>
              <w:t>ing</w:t>
            </w:r>
            <w:r w:rsidRPr="003C29C8">
              <w:rPr>
                <w:rFonts w:cs="Arial"/>
              </w:rPr>
              <w:t xml:space="preserve"> main potential contacts</w:t>
            </w:r>
            <w:r>
              <w:rPr>
                <w:rFonts w:cs="Arial"/>
              </w:rPr>
              <w:t>, main target series (e.g. capital expenditure, goods and services), trade-off between full and partial coverage, and suggested timetable</w:t>
            </w:r>
          </w:p>
        </w:tc>
        <w:tc>
          <w:tcPr>
            <w:tcW w:w="2126" w:type="dxa"/>
          </w:tcPr>
          <w:p w14:paraId="61DC7921" w14:textId="7A1EEF45" w:rsidR="00225AC5" w:rsidRPr="003C29C8" w:rsidRDefault="00225AC5" w:rsidP="00225AC5">
            <w:pPr>
              <w:rPr>
                <w:rFonts w:cs="Arial"/>
              </w:rPr>
            </w:pPr>
            <w:r w:rsidRPr="003C29C8">
              <w:rPr>
                <w:rFonts w:cs="Arial"/>
              </w:rPr>
              <w:t xml:space="preserve">By end </w:t>
            </w:r>
            <w:r w:rsidR="00BC012D">
              <w:rPr>
                <w:rFonts w:cs="Arial"/>
              </w:rPr>
              <w:t>March</w:t>
            </w:r>
            <w:r w:rsidRPr="003C29C8">
              <w:rPr>
                <w:rFonts w:cs="Arial"/>
              </w:rPr>
              <w:t xml:space="preserve"> 201</w:t>
            </w:r>
            <w:r w:rsidR="00BC012D">
              <w:rPr>
                <w:rFonts w:cs="Arial"/>
              </w:rPr>
              <w:t>9</w:t>
            </w:r>
          </w:p>
        </w:tc>
        <w:tc>
          <w:tcPr>
            <w:tcW w:w="3605" w:type="dxa"/>
          </w:tcPr>
          <w:p w14:paraId="621FD043" w14:textId="1C9D6527" w:rsidR="00225AC5" w:rsidRPr="003C29C8" w:rsidRDefault="00225AC5" w:rsidP="00225AC5">
            <w:pPr>
              <w:rPr>
                <w:rFonts w:cs="Arial"/>
              </w:rPr>
            </w:pPr>
            <w:r>
              <w:rPr>
                <w:rFonts w:cs="Arial"/>
              </w:rPr>
              <w:t>[Internal PDMD Document]</w:t>
            </w:r>
          </w:p>
        </w:tc>
      </w:tr>
      <w:tr w:rsidR="001F6343" w:rsidRPr="003C29C8" w14:paraId="1B0569E4" w14:textId="77777777" w:rsidTr="00225AC5">
        <w:tc>
          <w:tcPr>
            <w:tcW w:w="8075" w:type="dxa"/>
            <w:tcBorders>
              <w:bottom w:val="single" w:sz="4" w:space="0" w:color="auto"/>
            </w:tcBorders>
          </w:tcPr>
          <w:p w14:paraId="10F4ACCF" w14:textId="77777777" w:rsidR="00225AC5" w:rsidRPr="003C29C8" w:rsidRDefault="00225AC5" w:rsidP="00225AC5">
            <w:pPr>
              <w:rPr>
                <w:rFonts w:cs="Arial"/>
                <w:b/>
              </w:rPr>
            </w:pPr>
          </w:p>
        </w:tc>
        <w:tc>
          <w:tcPr>
            <w:tcW w:w="2126" w:type="dxa"/>
            <w:tcBorders>
              <w:bottom w:val="single" w:sz="4" w:space="0" w:color="auto"/>
            </w:tcBorders>
          </w:tcPr>
          <w:p w14:paraId="15962997" w14:textId="77777777" w:rsidR="00225AC5" w:rsidRPr="003C29C8" w:rsidRDefault="00225AC5" w:rsidP="00225AC5">
            <w:pPr>
              <w:rPr>
                <w:rFonts w:cs="Arial"/>
              </w:rPr>
            </w:pPr>
          </w:p>
        </w:tc>
        <w:tc>
          <w:tcPr>
            <w:tcW w:w="3605" w:type="dxa"/>
            <w:tcBorders>
              <w:bottom w:val="single" w:sz="4" w:space="0" w:color="auto"/>
            </w:tcBorders>
          </w:tcPr>
          <w:p w14:paraId="3CC635A9" w14:textId="77777777" w:rsidR="00225AC5" w:rsidRPr="003C29C8" w:rsidRDefault="00225AC5" w:rsidP="00225AC5">
            <w:pPr>
              <w:rPr>
                <w:rFonts w:cs="Arial"/>
              </w:rPr>
            </w:pPr>
          </w:p>
        </w:tc>
      </w:tr>
      <w:tr w:rsidR="001F6343" w:rsidRPr="003C29C8" w14:paraId="642CA66E" w14:textId="77777777" w:rsidTr="00225AC5">
        <w:tc>
          <w:tcPr>
            <w:tcW w:w="8075" w:type="dxa"/>
            <w:shd w:val="clear" w:color="auto" w:fill="DBE5F1" w:themeFill="accent1" w:themeFillTint="33"/>
          </w:tcPr>
          <w:p w14:paraId="39BC0CF8" w14:textId="77777777" w:rsidR="00225AC5" w:rsidRPr="003C29C8" w:rsidRDefault="00225AC5" w:rsidP="00225AC5">
            <w:pPr>
              <w:rPr>
                <w:rFonts w:cs="Arial"/>
                <w:b/>
              </w:rPr>
            </w:pPr>
            <w:r w:rsidRPr="003C29C8">
              <w:rPr>
                <w:rFonts w:cs="Arial"/>
                <w:b/>
              </w:rPr>
              <w:t>Moving to More Active Cash Management</w:t>
            </w:r>
          </w:p>
        </w:tc>
        <w:tc>
          <w:tcPr>
            <w:tcW w:w="2126" w:type="dxa"/>
            <w:shd w:val="clear" w:color="auto" w:fill="DBE5F1" w:themeFill="accent1" w:themeFillTint="33"/>
          </w:tcPr>
          <w:p w14:paraId="7E4A6852" w14:textId="77777777" w:rsidR="00225AC5" w:rsidRPr="003C29C8" w:rsidRDefault="00225AC5" w:rsidP="00225AC5">
            <w:pPr>
              <w:rPr>
                <w:rFonts w:cs="Arial"/>
              </w:rPr>
            </w:pPr>
          </w:p>
        </w:tc>
        <w:tc>
          <w:tcPr>
            <w:tcW w:w="3605" w:type="dxa"/>
            <w:shd w:val="clear" w:color="auto" w:fill="DBE5F1" w:themeFill="accent1" w:themeFillTint="33"/>
          </w:tcPr>
          <w:p w14:paraId="07911704" w14:textId="77777777" w:rsidR="00225AC5" w:rsidRPr="003C29C8" w:rsidRDefault="00225AC5" w:rsidP="00225AC5">
            <w:pPr>
              <w:rPr>
                <w:rFonts w:cs="Arial"/>
              </w:rPr>
            </w:pPr>
          </w:p>
        </w:tc>
      </w:tr>
      <w:tr w:rsidR="001F6343" w:rsidRPr="003C29C8" w14:paraId="208956A0" w14:textId="77777777" w:rsidTr="00225AC5">
        <w:tc>
          <w:tcPr>
            <w:tcW w:w="8075" w:type="dxa"/>
          </w:tcPr>
          <w:p w14:paraId="1FF9A9B9" w14:textId="77777777"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PDMD to develop an outline action plan to move to more active cash management</w:t>
            </w:r>
          </w:p>
        </w:tc>
        <w:tc>
          <w:tcPr>
            <w:tcW w:w="2126" w:type="dxa"/>
          </w:tcPr>
          <w:p w14:paraId="47F0D6ED" w14:textId="77777777" w:rsidR="00225AC5" w:rsidRPr="003C29C8" w:rsidRDefault="00225AC5" w:rsidP="00225AC5">
            <w:pPr>
              <w:rPr>
                <w:rFonts w:cs="Arial"/>
              </w:rPr>
            </w:pPr>
          </w:p>
        </w:tc>
        <w:tc>
          <w:tcPr>
            <w:tcW w:w="3605" w:type="dxa"/>
          </w:tcPr>
          <w:p w14:paraId="7D722F31" w14:textId="77777777" w:rsidR="00225AC5" w:rsidRPr="003C29C8" w:rsidRDefault="00225AC5" w:rsidP="00225AC5">
            <w:pPr>
              <w:rPr>
                <w:rFonts w:cs="Arial"/>
              </w:rPr>
            </w:pPr>
          </w:p>
        </w:tc>
      </w:tr>
      <w:tr w:rsidR="001F6343" w:rsidRPr="003C29C8" w14:paraId="6B998D59" w14:textId="77777777" w:rsidTr="00225AC5">
        <w:tc>
          <w:tcPr>
            <w:tcW w:w="8075" w:type="dxa"/>
          </w:tcPr>
          <w:p w14:paraId="4FCCFA49" w14:textId="77777777" w:rsidR="00225AC5" w:rsidRDefault="00225AC5" w:rsidP="00E06F98">
            <w:pPr>
              <w:pStyle w:val="ListParagraph"/>
              <w:numPr>
                <w:ilvl w:val="0"/>
                <w:numId w:val="17"/>
              </w:numPr>
              <w:spacing w:before="0" w:after="0" w:line="240" w:lineRule="auto"/>
              <w:jc w:val="both"/>
              <w:rPr>
                <w:rFonts w:cs="Arial"/>
              </w:rPr>
            </w:pPr>
            <w:r>
              <w:rPr>
                <w:rFonts w:cs="Arial"/>
              </w:rPr>
              <w:t>Initial discussions within PDMD and with CBA to develop action plan</w:t>
            </w:r>
          </w:p>
        </w:tc>
        <w:tc>
          <w:tcPr>
            <w:tcW w:w="2126" w:type="dxa"/>
          </w:tcPr>
          <w:p w14:paraId="05AAAB46" w14:textId="639C156E" w:rsidR="00225AC5" w:rsidRDefault="00225AC5" w:rsidP="00225AC5">
            <w:pPr>
              <w:rPr>
                <w:rFonts w:cs="Arial"/>
              </w:rPr>
            </w:pPr>
            <w:r>
              <w:rPr>
                <w:rFonts w:cs="Arial"/>
              </w:rPr>
              <w:t>Nov-2018</w:t>
            </w:r>
            <w:r w:rsidR="003021B4">
              <w:rPr>
                <w:rFonts w:cs="Arial"/>
              </w:rPr>
              <w:t xml:space="preserve"> – </w:t>
            </w:r>
            <w:r w:rsidR="00577D79">
              <w:rPr>
                <w:rFonts w:cs="Arial"/>
              </w:rPr>
              <w:t xml:space="preserve">Q3 </w:t>
            </w:r>
            <w:r w:rsidR="003021B4">
              <w:rPr>
                <w:rFonts w:cs="Arial"/>
              </w:rPr>
              <w:t>2019</w:t>
            </w:r>
          </w:p>
        </w:tc>
        <w:tc>
          <w:tcPr>
            <w:tcW w:w="3605" w:type="dxa"/>
          </w:tcPr>
          <w:p w14:paraId="7F794D5B" w14:textId="77777777" w:rsidR="00225AC5" w:rsidRDefault="00225AC5" w:rsidP="00225AC5">
            <w:pPr>
              <w:rPr>
                <w:rFonts w:cs="Arial"/>
              </w:rPr>
            </w:pPr>
          </w:p>
        </w:tc>
      </w:tr>
      <w:tr w:rsidR="001F6343" w:rsidRPr="003C29C8" w14:paraId="7FBDB5BA" w14:textId="77777777" w:rsidTr="00225AC5">
        <w:tc>
          <w:tcPr>
            <w:tcW w:w="8075" w:type="dxa"/>
          </w:tcPr>
          <w:p w14:paraId="7CD081BF" w14:textId="2FE00DF1" w:rsidR="00225AC5" w:rsidRPr="003C29C8" w:rsidRDefault="00225AC5" w:rsidP="00E06F98">
            <w:pPr>
              <w:pStyle w:val="ListParagraph"/>
              <w:numPr>
                <w:ilvl w:val="0"/>
                <w:numId w:val="17"/>
              </w:numPr>
              <w:spacing w:before="0" w:after="0" w:line="240" w:lineRule="auto"/>
              <w:jc w:val="both"/>
              <w:rPr>
                <w:rFonts w:cs="Arial"/>
              </w:rPr>
            </w:pPr>
            <w:r>
              <w:rPr>
                <w:rFonts w:cs="Arial"/>
              </w:rPr>
              <w:t>Completion of action plan [See outline draft attached</w:t>
            </w:r>
            <w:r w:rsidR="00577D79">
              <w:rPr>
                <w:rFonts w:cs="Arial"/>
              </w:rPr>
              <w:t xml:space="preserve"> at appendix below</w:t>
            </w:r>
            <w:r>
              <w:rPr>
                <w:rFonts w:cs="Arial"/>
              </w:rPr>
              <w:t>]</w:t>
            </w:r>
          </w:p>
        </w:tc>
        <w:tc>
          <w:tcPr>
            <w:tcW w:w="2126" w:type="dxa"/>
          </w:tcPr>
          <w:p w14:paraId="660E644F" w14:textId="39D05BBB" w:rsidR="00225AC5" w:rsidRPr="003C29C8" w:rsidRDefault="00225AC5" w:rsidP="00225AC5">
            <w:pPr>
              <w:rPr>
                <w:rFonts w:cs="Arial"/>
              </w:rPr>
            </w:pPr>
            <w:r>
              <w:rPr>
                <w:rFonts w:cs="Arial"/>
              </w:rPr>
              <w:t xml:space="preserve">By end </w:t>
            </w:r>
            <w:r w:rsidR="00577D79">
              <w:rPr>
                <w:rFonts w:cs="Arial"/>
              </w:rPr>
              <w:t>Q2</w:t>
            </w:r>
            <w:r>
              <w:rPr>
                <w:rFonts w:cs="Arial"/>
              </w:rPr>
              <w:t xml:space="preserve"> 201</w:t>
            </w:r>
            <w:r w:rsidR="00577D79">
              <w:rPr>
                <w:rFonts w:cs="Arial"/>
              </w:rPr>
              <w:t>9</w:t>
            </w:r>
          </w:p>
        </w:tc>
        <w:tc>
          <w:tcPr>
            <w:tcW w:w="3605" w:type="dxa"/>
          </w:tcPr>
          <w:p w14:paraId="512B2881" w14:textId="77777777" w:rsidR="00225AC5" w:rsidRPr="003C29C8" w:rsidRDefault="00225AC5" w:rsidP="00225AC5">
            <w:pPr>
              <w:rPr>
                <w:rFonts w:cs="Arial"/>
              </w:rPr>
            </w:pPr>
            <w:r>
              <w:rPr>
                <w:rFonts w:cs="Arial"/>
              </w:rPr>
              <w:t>Agree internal PDMD document</w:t>
            </w:r>
          </w:p>
        </w:tc>
      </w:tr>
      <w:tr w:rsidR="001F6343" w:rsidRPr="003C29C8" w14:paraId="67545DBE" w14:textId="77777777" w:rsidTr="00225AC5">
        <w:trPr>
          <w:trHeight w:val="25"/>
        </w:trPr>
        <w:tc>
          <w:tcPr>
            <w:tcW w:w="8075" w:type="dxa"/>
          </w:tcPr>
          <w:p w14:paraId="2BF18ABF" w14:textId="4E97667B" w:rsidR="00225AC5" w:rsidRPr="003C29C8" w:rsidRDefault="00225AC5" w:rsidP="00225AC5">
            <w:pPr>
              <w:rPr>
                <w:rFonts w:cs="Arial"/>
              </w:rPr>
            </w:pPr>
            <w:r w:rsidRPr="00A039D3">
              <w:rPr>
                <w:rFonts w:cs="Arial"/>
                <w:b/>
              </w:rPr>
              <w:t>Recommendation:</w:t>
            </w:r>
            <w:r w:rsidRPr="00A039D3">
              <w:rPr>
                <w:rFonts w:cs="Arial"/>
              </w:rPr>
              <w:t xml:space="preserve"> </w:t>
            </w:r>
            <w:r w:rsidRPr="003C29C8">
              <w:rPr>
                <w:rFonts w:cs="Arial"/>
              </w:rPr>
              <w:t xml:space="preserve">PDMD to </w:t>
            </w:r>
            <w:r w:rsidR="000C5BD2">
              <w:rPr>
                <w:rFonts w:cs="Arial"/>
              </w:rPr>
              <w:t>e</w:t>
            </w:r>
            <w:r w:rsidRPr="003C29C8">
              <w:rPr>
                <w:rFonts w:cs="Arial"/>
              </w:rPr>
              <w:t>stablish a Cash Coordinating Committee</w:t>
            </w:r>
          </w:p>
        </w:tc>
        <w:tc>
          <w:tcPr>
            <w:tcW w:w="2126" w:type="dxa"/>
          </w:tcPr>
          <w:p w14:paraId="6C6483B2" w14:textId="77777777" w:rsidR="00225AC5" w:rsidRPr="003C29C8" w:rsidRDefault="00225AC5" w:rsidP="00225AC5">
            <w:pPr>
              <w:rPr>
                <w:rFonts w:cs="Arial"/>
              </w:rPr>
            </w:pPr>
          </w:p>
        </w:tc>
        <w:tc>
          <w:tcPr>
            <w:tcW w:w="3605" w:type="dxa"/>
          </w:tcPr>
          <w:p w14:paraId="671D3A59" w14:textId="77777777" w:rsidR="00225AC5" w:rsidRPr="003C29C8" w:rsidRDefault="00225AC5" w:rsidP="00225AC5">
            <w:pPr>
              <w:rPr>
                <w:rFonts w:cs="Arial"/>
              </w:rPr>
            </w:pPr>
          </w:p>
        </w:tc>
      </w:tr>
      <w:tr w:rsidR="001F6343" w:rsidRPr="003C29C8" w14:paraId="6573A068" w14:textId="77777777" w:rsidTr="00225AC5">
        <w:tc>
          <w:tcPr>
            <w:tcW w:w="8075" w:type="dxa"/>
          </w:tcPr>
          <w:p w14:paraId="2A9D3411" w14:textId="77777777" w:rsidR="00225AC5" w:rsidRDefault="00225AC5" w:rsidP="00E06F98">
            <w:pPr>
              <w:pStyle w:val="ListParagraph"/>
              <w:numPr>
                <w:ilvl w:val="0"/>
                <w:numId w:val="18"/>
              </w:numPr>
              <w:spacing w:before="0" w:after="0" w:line="240" w:lineRule="auto"/>
              <w:jc w:val="both"/>
              <w:rPr>
                <w:rFonts w:cs="Arial"/>
              </w:rPr>
            </w:pPr>
            <w:r>
              <w:rPr>
                <w:rFonts w:cs="Arial"/>
              </w:rPr>
              <w:t>Discussions by PDMD with CBA, Budget Dept, SRC (and others) decided on role and membership of CCC</w:t>
            </w:r>
          </w:p>
        </w:tc>
        <w:tc>
          <w:tcPr>
            <w:tcW w:w="2126" w:type="dxa"/>
          </w:tcPr>
          <w:p w14:paraId="6BE3352F" w14:textId="38A0A2E7" w:rsidR="00225AC5" w:rsidRPr="003C29C8" w:rsidRDefault="00577D79" w:rsidP="00225AC5">
            <w:pPr>
              <w:rPr>
                <w:rFonts w:cs="Arial"/>
              </w:rPr>
            </w:pPr>
            <w:r>
              <w:rPr>
                <w:rFonts w:cs="Arial"/>
              </w:rPr>
              <w:t>Q1</w:t>
            </w:r>
            <w:r w:rsidR="00225AC5">
              <w:rPr>
                <w:rFonts w:cs="Arial"/>
              </w:rPr>
              <w:t xml:space="preserve"> 201</w:t>
            </w:r>
            <w:r>
              <w:rPr>
                <w:rFonts w:cs="Arial"/>
              </w:rPr>
              <w:t>9</w:t>
            </w:r>
          </w:p>
        </w:tc>
        <w:tc>
          <w:tcPr>
            <w:tcW w:w="3605" w:type="dxa"/>
          </w:tcPr>
          <w:p w14:paraId="067C3115" w14:textId="77777777" w:rsidR="00225AC5" w:rsidRPr="003C29C8" w:rsidRDefault="00225AC5" w:rsidP="00225AC5">
            <w:pPr>
              <w:rPr>
                <w:rFonts w:cs="Arial"/>
              </w:rPr>
            </w:pPr>
          </w:p>
        </w:tc>
      </w:tr>
      <w:tr w:rsidR="001F6343" w:rsidRPr="003C29C8" w14:paraId="5CB3D7B2" w14:textId="77777777" w:rsidTr="00225AC5">
        <w:tc>
          <w:tcPr>
            <w:tcW w:w="8075" w:type="dxa"/>
          </w:tcPr>
          <w:p w14:paraId="1FDDB550" w14:textId="77777777" w:rsidR="00225AC5" w:rsidRPr="003C29C8" w:rsidRDefault="00225AC5" w:rsidP="00E06F98">
            <w:pPr>
              <w:pStyle w:val="ListParagraph"/>
              <w:numPr>
                <w:ilvl w:val="0"/>
                <w:numId w:val="18"/>
              </w:numPr>
              <w:spacing w:before="0" w:after="0" w:line="240" w:lineRule="auto"/>
              <w:jc w:val="both"/>
              <w:rPr>
                <w:rFonts w:cs="Arial"/>
              </w:rPr>
            </w:pPr>
            <w:r>
              <w:rPr>
                <w:rFonts w:cs="Arial"/>
              </w:rPr>
              <w:t>CCC established with agreed ToR and membership</w:t>
            </w:r>
          </w:p>
        </w:tc>
        <w:tc>
          <w:tcPr>
            <w:tcW w:w="2126" w:type="dxa"/>
          </w:tcPr>
          <w:p w14:paraId="17817763" w14:textId="44276829" w:rsidR="00225AC5" w:rsidRPr="003C29C8" w:rsidRDefault="00225AC5" w:rsidP="00225AC5">
            <w:pPr>
              <w:rPr>
                <w:rFonts w:cs="Arial"/>
              </w:rPr>
            </w:pPr>
            <w:r w:rsidRPr="003C29C8">
              <w:rPr>
                <w:rFonts w:cs="Arial"/>
              </w:rPr>
              <w:t xml:space="preserve">By end </w:t>
            </w:r>
            <w:r w:rsidR="00577D79">
              <w:rPr>
                <w:rFonts w:cs="Arial"/>
              </w:rPr>
              <w:t>Q2</w:t>
            </w:r>
            <w:r w:rsidRPr="003C29C8">
              <w:rPr>
                <w:rFonts w:cs="Arial"/>
              </w:rPr>
              <w:t xml:space="preserve"> 201</w:t>
            </w:r>
            <w:r w:rsidR="00577D79">
              <w:rPr>
                <w:rFonts w:cs="Arial"/>
              </w:rPr>
              <w:t>9</w:t>
            </w:r>
          </w:p>
        </w:tc>
        <w:tc>
          <w:tcPr>
            <w:tcW w:w="3605" w:type="dxa"/>
          </w:tcPr>
          <w:p w14:paraId="5CCDC2B7" w14:textId="77777777" w:rsidR="00225AC5" w:rsidRPr="003C29C8" w:rsidRDefault="00225AC5" w:rsidP="00225AC5">
            <w:pPr>
              <w:rPr>
                <w:rFonts w:cs="Arial"/>
              </w:rPr>
            </w:pPr>
            <w:r w:rsidRPr="003C29C8">
              <w:rPr>
                <w:rFonts w:cs="Arial"/>
              </w:rPr>
              <w:t>Formal terms of reference</w:t>
            </w:r>
          </w:p>
        </w:tc>
      </w:tr>
    </w:tbl>
    <w:p w14:paraId="7A66B31C" w14:textId="77777777" w:rsidR="00225AC5" w:rsidRDefault="00225AC5" w:rsidP="00225AC5"/>
    <w:p w14:paraId="6384BED2" w14:textId="3B42CBF9" w:rsidR="00225AC5" w:rsidRPr="00225AC5" w:rsidRDefault="00225AC5" w:rsidP="005E09E7">
      <w:pPr>
        <w:pStyle w:val="Topic2"/>
      </w:pPr>
      <w:bookmarkStart w:id="9" w:name="_Toc523069457"/>
      <w:r>
        <w:t>Appendix</w:t>
      </w:r>
      <w:r w:rsidR="000C5BD2">
        <w:t>: Active Cash Management: Outline Project Plan</w:t>
      </w:r>
      <w:bookmarkEnd w:id="9"/>
      <w:r>
        <w:t xml:space="preserve"> </w:t>
      </w:r>
    </w:p>
    <w:p w14:paraId="789984D3" w14:textId="278383A9" w:rsidR="00225AC5" w:rsidRPr="00225AC5" w:rsidRDefault="00687302" w:rsidP="00225AC5">
      <w:pPr>
        <w:pStyle w:val="ParagraphNumbering"/>
        <w:numPr>
          <w:ilvl w:val="0"/>
          <w:numId w:val="0"/>
        </w:numPr>
        <w:spacing w:before="240"/>
        <w:rPr>
          <w:rFonts w:eastAsia="Times New Roman" w:cs="Arial"/>
          <w:bCs/>
        </w:rPr>
      </w:pPr>
      <w:r w:rsidRPr="00687302">
        <w:rPr>
          <w:noProof/>
        </w:rPr>
        <w:drawing>
          <wp:inline distT="0" distB="0" distL="0" distR="0" wp14:anchorId="7EBEDB64" wp14:editId="3D532D44">
            <wp:extent cx="8229600" cy="479414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794148"/>
                    </a:xfrm>
                    <a:prstGeom prst="rect">
                      <a:avLst/>
                    </a:prstGeom>
                    <a:noFill/>
                    <a:ln>
                      <a:noFill/>
                    </a:ln>
                  </pic:spPr>
                </pic:pic>
              </a:graphicData>
            </a:graphic>
          </wp:inline>
        </w:drawing>
      </w:r>
    </w:p>
    <w:p w14:paraId="6510A4B3" w14:textId="77777777" w:rsidR="00225AC5" w:rsidRDefault="00225AC5" w:rsidP="00225AC5">
      <w:pPr>
        <w:pStyle w:val="ParagraphNumbering"/>
        <w:numPr>
          <w:ilvl w:val="0"/>
          <w:numId w:val="0"/>
        </w:numPr>
        <w:spacing w:before="240"/>
        <w:rPr>
          <w:rFonts w:eastAsia="Times New Roman" w:cs="Arial"/>
          <w:b/>
          <w:bCs/>
        </w:rPr>
        <w:sectPr w:rsidR="00225AC5" w:rsidSect="00C86F96">
          <w:pgSz w:w="15840" w:h="12240" w:orient="landscape"/>
          <w:pgMar w:top="1247" w:right="1440" w:bottom="1247" w:left="1440" w:header="720" w:footer="720" w:gutter="0"/>
          <w:cols w:space="720"/>
          <w:docGrid w:linePitch="360"/>
        </w:sectPr>
      </w:pPr>
    </w:p>
    <w:p w14:paraId="10165495" w14:textId="30108CDD" w:rsidR="00080F4E" w:rsidRPr="00BA64EF" w:rsidRDefault="00856782" w:rsidP="00225AC5">
      <w:pPr>
        <w:pStyle w:val="Topic1"/>
        <w:numPr>
          <w:ilvl w:val="0"/>
          <w:numId w:val="0"/>
        </w:numPr>
      </w:pPr>
      <w:bookmarkStart w:id="10" w:name="_Toc523069458"/>
      <w:r>
        <w:lastRenderedPageBreak/>
        <w:t>Annex</w:t>
      </w:r>
      <w:r w:rsidR="00225AC5">
        <w:t xml:space="preserve"> C</w:t>
      </w:r>
      <w:r>
        <w:t>: Commentary on Recommendations</w:t>
      </w:r>
      <w:bookmarkEnd w:id="10"/>
    </w:p>
    <w:p w14:paraId="6C7FE9FF" w14:textId="56E143FC" w:rsidR="00080F4E" w:rsidRPr="00856782" w:rsidRDefault="00856782" w:rsidP="00E06F98">
      <w:pPr>
        <w:pStyle w:val="ParagraphNumbering"/>
        <w:numPr>
          <w:ilvl w:val="0"/>
          <w:numId w:val="8"/>
        </w:numPr>
      </w:pPr>
      <w:r w:rsidRPr="00856782">
        <w:t>The interim report made a number of recommendations which were summarized in a table at the end of the executive summary.</w:t>
      </w:r>
    </w:p>
    <w:p w14:paraId="1AFA0386" w14:textId="59CBD861" w:rsidR="00856782" w:rsidRPr="00225AC5" w:rsidRDefault="00856782" w:rsidP="00856782">
      <w:pPr>
        <w:pStyle w:val="ParagraphNumbering"/>
      </w:pPr>
      <w:r w:rsidRPr="00225AC5">
        <w:t>This annex provides an additional commentary on each of the recommendations</w:t>
      </w:r>
      <w:r w:rsidR="00225AC5" w:rsidRPr="00225AC5">
        <w:t>.</w:t>
      </w:r>
      <w:r w:rsidRPr="00225AC5">
        <w:t xml:space="preserve">  The conclusions of these discussion are reflected in the workplan </w:t>
      </w:r>
      <w:r w:rsidR="00225AC5" w:rsidRPr="00225AC5">
        <w:t>at Annex B</w:t>
      </w:r>
      <w:r w:rsidRPr="00225AC5">
        <w:t>.</w:t>
      </w:r>
    </w:p>
    <w:p w14:paraId="4361615B" w14:textId="5355C853" w:rsidR="00856782" w:rsidRDefault="00856782" w:rsidP="005E09E7">
      <w:pPr>
        <w:pStyle w:val="Topic2"/>
      </w:pPr>
      <w:bookmarkStart w:id="11" w:name="_Toc523069459"/>
      <w:r w:rsidRPr="00D15308">
        <w:t>Treasury</w:t>
      </w:r>
      <w:r>
        <w:t xml:space="preserve"> Single Account</w:t>
      </w:r>
      <w:bookmarkEnd w:id="11"/>
    </w:p>
    <w:p w14:paraId="541F1B4F" w14:textId="39D9AECE" w:rsidR="00856782" w:rsidRDefault="00856782" w:rsidP="004B223A">
      <w:pPr>
        <w:pStyle w:val="Heading3"/>
      </w:pPr>
      <w:bookmarkStart w:id="12" w:name="_Hlk522526029"/>
      <w:r>
        <w:t>Previous Recommendations</w:t>
      </w:r>
    </w:p>
    <w:tbl>
      <w:tblPr>
        <w:tblStyle w:val="TableGrid"/>
        <w:tblW w:w="0" w:type="auto"/>
        <w:tblLook w:val="04A0" w:firstRow="1" w:lastRow="0" w:firstColumn="1" w:lastColumn="0" w:noHBand="0" w:noVBand="1"/>
      </w:tblPr>
      <w:tblGrid>
        <w:gridCol w:w="1439"/>
        <w:gridCol w:w="3971"/>
        <w:gridCol w:w="3940"/>
      </w:tblGrid>
      <w:tr w:rsidR="00856782" w:rsidRPr="002D45EF" w14:paraId="77895CF2" w14:textId="77777777" w:rsidTr="009246B9">
        <w:tc>
          <w:tcPr>
            <w:tcW w:w="9350" w:type="dxa"/>
            <w:gridSpan w:val="3"/>
            <w:tcBorders>
              <w:bottom w:val="single" w:sz="4" w:space="0" w:color="auto"/>
            </w:tcBorders>
            <w:shd w:val="clear" w:color="auto" w:fill="548DD4" w:themeFill="text2" w:themeFillTint="99"/>
          </w:tcPr>
          <w:p w14:paraId="4E824B23" w14:textId="77777777" w:rsidR="00856782" w:rsidRPr="002D45EF" w:rsidRDefault="00856782" w:rsidP="009246B9">
            <w:pPr>
              <w:spacing w:before="120" w:after="120"/>
              <w:jc w:val="center"/>
              <w:rPr>
                <w:rFonts w:cs="Arial"/>
                <w:b/>
                <w:sz w:val="20"/>
                <w:szCs w:val="20"/>
              </w:rPr>
            </w:pPr>
            <w:r w:rsidRPr="002D45EF">
              <w:rPr>
                <w:rFonts w:cs="Arial"/>
                <w:b/>
                <w:sz w:val="20"/>
                <w:szCs w:val="20"/>
              </w:rPr>
              <w:t>Summary of Recommendations</w:t>
            </w:r>
          </w:p>
        </w:tc>
      </w:tr>
      <w:tr w:rsidR="00856782" w:rsidRPr="002D45EF" w14:paraId="3C3B31D9" w14:textId="77777777" w:rsidTr="009246B9">
        <w:tc>
          <w:tcPr>
            <w:tcW w:w="1439" w:type="dxa"/>
            <w:tcBorders>
              <w:bottom w:val="single" w:sz="4" w:space="0" w:color="auto"/>
            </w:tcBorders>
            <w:shd w:val="clear" w:color="auto" w:fill="B8CCE4" w:themeFill="accent1" w:themeFillTint="66"/>
          </w:tcPr>
          <w:p w14:paraId="6BBFAAF2" w14:textId="77777777" w:rsidR="00856782" w:rsidRPr="002D45EF" w:rsidRDefault="00856782" w:rsidP="009246B9">
            <w:pPr>
              <w:jc w:val="both"/>
              <w:rPr>
                <w:rFonts w:cs="Arial"/>
                <w:sz w:val="20"/>
                <w:szCs w:val="20"/>
              </w:rPr>
            </w:pPr>
          </w:p>
        </w:tc>
        <w:tc>
          <w:tcPr>
            <w:tcW w:w="3971" w:type="dxa"/>
            <w:shd w:val="clear" w:color="auto" w:fill="B8CCE4" w:themeFill="accent1" w:themeFillTint="66"/>
          </w:tcPr>
          <w:p w14:paraId="330DE9A5" w14:textId="77777777" w:rsidR="00856782" w:rsidRPr="002D45EF" w:rsidRDefault="00856782" w:rsidP="009246B9">
            <w:pPr>
              <w:spacing w:before="120" w:after="120"/>
              <w:jc w:val="center"/>
              <w:rPr>
                <w:rFonts w:cs="Arial"/>
                <w:b/>
                <w:sz w:val="20"/>
                <w:szCs w:val="20"/>
              </w:rPr>
            </w:pPr>
            <w:r w:rsidRPr="002D45EF">
              <w:rPr>
                <w:rFonts w:cs="Arial"/>
                <w:b/>
                <w:sz w:val="20"/>
                <w:szCs w:val="20"/>
              </w:rPr>
              <w:t xml:space="preserve">Short-term (before end </w:t>
            </w:r>
            <w:r>
              <w:rPr>
                <w:rFonts w:cs="Arial"/>
                <w:b/>
                <w:sz w:val="20"/>
                <w:szCs w:val="20"/>
              </w:rPr>
              <w:t>2</w:t>
            </w:r>
            <w:r w:rsidRPr="002D45EF">
              <w:rPr>
                <w:rFonts w:cs="Arial"/>
                <w:b/>
                <w:sz w:val="20"/>
                <w:szCs w:val="20"/>
              </w:rPr>
              <w:t>018)</w:t>
            </w:r>
          </w:p>
        </w:tc>
        <w:tc>
          <w:tcPr>
            <w:tcW w:w="3940" w:type="dxa"/>
            <w:shd w:val="clear" w:color="auto" w:fill="B8CCE4" w:themeFill="accent1" w:themeFillTint="66"/>
          </w:tcPr>
          <w:p w14:paraId="37C92FCA" w14:textId="77777777" w:rsidR="00856782" w:rsidRPr="002D45EF" w:rsidRDefault="00856782" w:rsidP="009246B9">
            <w:pPr>
              <w:spacing w:before="120" w:after="120"/>
              <w:jc w:val="center"/>
              <w:rPr>
                <w:rFonts w:cs="Arial"/>
                <w:b/>
                <w:sz w:val="20"/>
                <w:szCs w:val="20"/>
              </w:rPr>
            </w:pPr>
            <w:r w:rsidRPr="002D45EF">
              <w:rPr>
                <w:rFonts w:cs="Arial"/>
                <w:b/>
                <w:sz w:val="20"/>
                <w:szCs w:val="20"/>
              </w:rPr>
              <w:t>Longer-term (extending beyond 2018)</w:t>
            </w:r>
          </w:p>
        </w:tc>
      </w:tr>
      <w:tr w:rsidR="00856782" w:rsidRPr="002D45EF" w14:paraId="38590964" w14:textId="77777777" w:rsidTr="009246B9">
        <w:tc>
          <w:tcPr>
            <w:tcW w:w="1439" w:type="dxa"/>
            <w:vMerge w:val="restart"/>
            <w:vAlign w:val="center"/>
          </w:tcPr>
          <w:p w14:paraId="45F42707" w14:textId="77777777" w:rsidR="00856782" w:rsidRPr="002D45EF" w:rsidRDefault="00856782" w:rsidP="009246B9">
            <w:pPr>
              <w:spacing w:before="60" w:after="60"/>
              <w:rPr>
                <w:rFonts w:cs="Arial"/>
                <w:b/>
                <w:sz w:val="20"/>
                <w:szCs w:val="20"/>
              </w:rPr>
            </w:pPr>
            <w:r w:rsidRPr="002D45EF">
              <w:rPr>
                <w:rFonts w:cs="Arial"/>
                <w:b/>
                <w:sz w:val="20"/>
                <w:szCs w:val="20"/>
              </w:rPr>
              <w:t>Treasury Single Account</w:t>
            </w:r>
          </w:p>
        </w:tc>
        <w:tc>
          <w:tcPr>
            <w:tcW w:w="3971" w:type="dxa"/>
          </w:tcPr>
          <w:p w14:paraId="4289FF2D" w14:textId="77777777" w:rsidR="00856782" w:rsidRPr="002D45EF" w:rsidRDefault="00856782" w:rsidP="009246B9">
            <w:pPr>
              <w:spacing w:before="60" w:after="60"/>
              <w:rPr>
                <w:rFonts w:cs="Arial"/>
                <w:sz w:val="20"/>
                <w:szCs w:val="20"/>
              </w:rPr>
            </w:pPr>
            <w:r w:rsidRPr="002D45EF">
              <w:rPr>
                <w:rFonts w:cs="Arial"/>
                <w:sz w:val="20"/>
                <w:szCs w:val="20"/>
              </w:rPr>
              <w:t>MoF to review the requirement to balance the state budget account at the end of each year, with a view to drawing more heavily on the balances in the TSA both within the year and across the year end.</w:t>
            </w:r>
          </w:p>
        </w:tc>
        <w:tc>
          <w:tcPr>
            <w:tcW w:w="3940" w:type="dxa"/>
          </w:tcPr>
          <w:p w14:paraId="430F2DB3" w14:textId="77777777" w:rsidR="00856782" w:rsidRPr="002D45EF" w:rsidRDefault="00856782" w:rsidP="009246B9">
            <w:pPr>
              <w:spacing w:before="60" w:after="60"/>
              <w:rPr>
                <w:rFonts w:cs="Arial"/>
                <w:sz w:val="20"/>
                <w:szCs w:val="20"/>
              </w:rPr>
            </w:pPr>
          </w:p>
        </w:tc>
      </w:tr>
      <w:tr w:rsidR="00856782" w:rsidRPr="002D45EF" w14:paraId="24A5F549" w14:textId="77777777" w:rsidTr="009246B9">
        <w:tc>
          <w:tcPr>
            <w:tcW w:w="1439" w:type="dxa"/>
            <w:vMerge/>
            <w:vAlign w:val="center"/>
          </w:tcPr>
          <w:p w14:paraId="4ACA013E" w14:textId="77777777" w:rsidR="00856782" w:rsidRPr="002D45EF" w:rsidRDefault="00856782" w:rsidP="009246B9">
            <w:pPr>
              <w:spacing w:before="60" w:after="60"/>
              <w:rPr>
                <w:rFonts w:cs="Arial"/>
                <w:b/>
                <w:sz w:val="20"/>
                <w:szCs w:val="20"/>
              </w:rPr>
            </w:pPr>
          </w:p>
        </w:tc>
        <w:tc>
          <w:tcPr>
            <w:tcW w:w="3971" w:type="dxa"/>
          </w:tcPr>
          <w:p w14:paraId="429E7F0A" w14:textId="77777777" w:rsidR="00856782" w:rsidRPr="002D45EF" w:rsidRDefault="00856782" w:rsidP="009246B9">
            <w:pPr>
              <w:spacing w:before="60" w:after="60"/>
              <w:rPr>
                <w:rFonts w:cs="Arial"/>
                <w:sz w:val="20"/>
                <w:szCs w:val="20"/>
              </w:rPr>
            </w:pPr>
            <w:r w:rsidRPr="002D45EF">
              <w:rPr>
                <w:rFonts w:cs="Arial"/>
                <w:sz w:val="20"/>
                <w:szCs w:val="20"/>
              </w:rPr>
              <w:t>PDMD to review the chosen level of its “current account” cash buffer.</w:t>
            </w:r>
          </w:p>
        </w:tc>
        <w:tc>
          <w:tcPr>
            <w:tcW w:w="3940" w:type="dxa"/>
          </w:tcPr>
          <w:p w14:paraId="557C8277" w14:textId="77777777" w:rsidR="00856782" w:rsidRPr="002D45EF" w:rsidRDefault="00856782" w:rsidP="009246B9">
            <w:pPr>
              <w:spacing w:before="60" w:after="60"/>
              <w:rPr>
                <w:rFonts w:cs="Arial"/>
                <w:sz w:val="20"/>
                <w:szCs w:val="20"/>
              </w:rPr>
            </w:pPr>
          </w:p>
        </w:tc>
      </w:tr>
    </w:tbl>
    <w:p w14:paraId="42A559A3" w14:textId="6D9B28E9" w:rsidR="00856782" w:rsidRDefault="00856782" w:rsidP="004B223A">
      <w:pPr>
        <w:pStyle w:val="Heading3"/>
      </w:pPr>
      <w:r>
        <w:t>Commentary</w:t>
      </w:r>
    </w:p>
    <w:bookmarkEnd w:id="12"/>
    <w:p w14:paraId="747D59F8" w14:textId="4A90A933" w:rsidR="00856782" w:rsidRDefault="00225AC5" w:rsidP="00856782">
      <w:pPr>
        <w:pStyle w:val="ParagraphNumbering"/>
      </w:pPr>
      <w:r>
        <w:t xml:space="preserve">The PDMD </w:t>
      </w:r>
      <w:r w:rsidR="00AE3AC0">
        <w:t xml:space="preserve">accepts </w:t>
      </w:r>
      <w:r>
        <w:t xml:space="preserve">that the </w:t>
      </w:r>
      <w:r w:rsidR="008400C6">
        <w:t>S</w:t>
      </w:r>
      <w:r>
        <w:t xml:space="preserve">tate </w:t>
      </w:r>
      <w:r w:rsidR="008400C6">
        <w:t>B</w:t>
      </w:r>
      <w:r>
        <w:t xml:space="preserve">udget could include a run down in cash balances as an element of the planned financing of the year.  </w:t>
      </w:r>
      <w:r w:rsidR="008400C6">
        <w:t xml:space="preserve">Provided that the drawdown was included in the </w:t>
      </w:r>
      <w:r w:rsidR="001F6343">
        <w:t>State B</w:t>
      </w:r>
      <w:r w:rsidR="008400C6">
        <w:t>udget approved by Parliament, and to</w:t>
      </w:r>
      <w:r>
        <w:t xml:space="preserve"> that extent</w:t>
      </w:r>
      <w:r w:rsidR="008400C6">
        <w:t xml:space="preserve"> only,</w:t>
      </w:r>
      <w:r>
        <w:t xml:space="preserve"> it was possible under existing </w:t>
      </w:r>
      <w:r w:rsidR="008400C6">
        <w:t>regulations</w:t>
      </w:r>
      <w:r>
        <w:t xml:space="preserve"> to draw more heavily on the balances in the TSA across the end of the</w:t>
      </w:r>
      <w:r w:rsidR="008400C6">
        <w:t xml:space="preserve"> </w:t>
      </w:r>
      <w:r>
        <w:t>year as well as within the year.</w:t>
      </w:r>
      <w:r w:rsidR="008400C6">
        <w:rPr>
          <w:rStyle w:val="FootnoteReference"/>
        </w:rPr>
        <w:footnoteReference w:id="3"/>
      </w:r>
      <w:r w:rsidR="008400C6">
        <w:t xml:space="preserve">  Indeed, the annual </w:t>
      </w:r>
      <w:r w:rsidR="00BD69FD">
        <w:t>budget</w:t>
      </w:r>
      <w:r w:rsidR="008400C6">
        <w:t xml:space="preserve"> for 2018 included a run down of the </w:t>
      </w:r>
      <w:r w:rsidR="00431941">
        <w:t>stabilization</w:t>
      </w:r>
      <w:r w:rsidR="008400C6">
        <w:t xml:space="preserve"> fund of AMD 40 billion among the financing </w:t>
      </w:r>
      <w:r w:rsidR="00431941">
        <w:t>transactions</w:t>
      </w:r>
      <w:r w:rsidR="008400C6">
        <w:t xml:space="preserve"> to meet</w:t>
      </w:r>
      <w:r w:rsidR="00431941">
        <w:t xml:space="preserve"> </w:t>
      </w:r>
      <w:r w:rsidR="008400C6">
        <w:t xml:space="preserve">the </w:t>
      </w:r>
      <w:r w:rsidR="00431941">
        <w:t>expected</w:t>
      </w:r>
      <w:r w:rsidR="008400C6">
        <w:t xml:space="preserve"> deficit of AMD 157 billion. To date (mid-August 2018), there ha</w:t>
      </w:r>
      <w:r w:rsidR="00AE3AC0">
        <w:t>s</w:t>
      </w:r>
      <w:r w:rsidR="008400C6">
        <w:t xml:space="preserve"> been no reco</w:t>
      </w:r>
      <w:r w:rsidR="00431941">
        <w:t>urse</w:t>
      </w:r>
      <w:r w:rsidR="008400C6">
        <w:t xml:space="preserve"> to the </w:t>
      </w:r>
      <w:r w:rsidR="00431941">
        <w:t>stabilization</w:t>
      </w:r>
      <w:r w:rsidR="008400C6">
        <w:t xml:space="preserve"> fund in the light of strong revenue performance.</w:t>
      </w:r>
      <w:r w:rsidR="00431941">
        <w:rPr>
          <w:rStyle w:val="FootnoteReference"/>
        </w:rPr>
        <w:footnoteReference w:id="4"/>
      </w:r>
    </w:p>
    <w:p w14:paraId="23A30689" w14:textId="5FAB9525" w:rsidR="00856782" w:rsidRDefault="00431941" w:rsidP="00856782">
      <w:pPr>
        <w:pStyle w:val="ParagraphNumbering"/>
      </w:pPr>
      <w:r>
        <w:t>The PDMD is nevertheless reluctant to draw on the stabilization fund, or the other cash balances in the TSA, across the end of the year.  It notes:</w:t>
      </w:r>
    </w:p>
    <w:p w14:paraId="54858B3A" w14:textId="07F49EDC" w:rsidR="00431941" w:rsidRDefault="00431941" w:rsidP="00E06F98">
      <w:pPr>
        <w:pStyle w:val="ListBullet"/>
        <w:numPr>
          <w:ilvl w:val="0"/>
          <w:numId w:val="19"/>
        </w:numPr>
        <w:ind w:left="426" w:hanging="426"/>
      </w:pPr>
      <w:r>
        <w:t>Use of the balances would be one-</w:t>
      </w:r>
      <w:r w:rsidRPr="00431941">
        <w:rPr>
          <w:rStyle w:val="ListParagraphChar"/>
        </w:rPr>
        <w:t>off; although</w:t>
      </w:r>
      <w:r w:rsidR="0095610E">
        <w:rPr>
          <w:rStyle w:val="ListParagraphChar"/>
        </w:rPr>
        <w:t xml:space="preserve"> it is the case that</w:t>
      </w:r>
      <w:r w:rsidRPr="00431941">
        <w:rPr>
          <w:rStyle w:val="ListParagraphChar"/>
        </w:rPr>
        <w:t xml:space="preserve"> t</w:t>
      </w:r>
      <w:r>
        <w:rPr>
          <w:rStyle w:val="ListParagraphChar"/>
        </w:rPr>
        <w:t>h</w:t>
      </w:r>
      <w:r w:rsidRPr="00431941">
        <w:rPr>
          <w:rStyle w:val="ListParagraphChar"/>
        </w:rPr>
        <w:t>ere would be continuing cost benefit</w:t>
      </w:r>
      <w:r>
        <w:t xml:space="preserve"> (because the T-</w:t>
      </w:r>
      <w:r w:rsidR="0064292E">
        <w:t>b</w:t>
      </w:r>
      <w:r>
        <w:t>ond stock would be lower)</w:t>
      </w:r>
      <w:r w:rsidR="0064292E">
        <w:t>, the balances would no longer be available to cope with a time of greater financial stress.</w:t>
      </w:r>
    </w:p>
    <w:p w14:paraId="683CF226" w14:textId="4E7F15E5" w:rsidR="0064292E" w:rsidRDefault="0064292E" w:rsidP="00E06F98">
      <w:pPr>
        <w:pStyle w:val="ListBullet"/>
        <w:numPr>
          <w:ilvl w:val="0"/>
          <w:numId w:val="19"/>
        </w:numPr>
        <w:ind w:left="426" w:hanging="426"/>
      </w:pPr>
      <w:r>
        <w:lastRenderedPageBreak/>
        <w:t xml:space="preserve">Some components of the balances (those of the local communities, the extra-budgetary funds and for donor-financed projects) were not only outside the direct control of the MoF, the PDMD had no information on when they were likely to be </w:t>
      </w:r>
      <w:r w:rsidR="00D70D12">
        <w:t>drawn</w:t>
      </w:r>
      <w:r>
        <w:t xml:space="preserve"> down.</w:t>
      </w:r>
    </w:p>
    <w:p w14:paraId="7C77BFF7" w14:textId="28D2F5B5" w:rsidR="0095610E" w:rsidRDefault="0095610E" w:rsidP="00E06F98">
      <w:pPr>
        <w:pStyle w:val="ListBullet"/>
        <w:numPr>
          <w:ilvl w:val="0"/>
          <w:numId w:val="19"/>
        </w:numPr>
        <w:ind w:left="426" w:hanging="426"/>
      </w:pPr>
      <w:r>
        <w:t xml:space="preserve">In practice there tended to be a substantial net inflow in December associated with </w:t>
      </w:r>
      <w:r w:rsidR="00BD69FD">
        <w:t xml:space="preserve">budget support </w:t>
      </w:r>
      <w:r>
        <w:t xml:space="preserve">grant </w:t>
      </w:r>
      <w:r w:rsidR="00BD69FD">
        <w:t xml:space="preserve">and loan </w:t>
      </w:r>
      <w:r>
        <w:t>disbursements which would offset any in year use of the balances.</w:t>
      </w:r>
    </w:p>
    <w:p w14:paraId="01A1266C" w14:textId="603CF662" w:rsidR="00567064" w:rsidRDefault="0064292E" w:rsidP="00452DB1">
      <w:pPr>
        <w:pStyle w:val="ParagraphNumbering"/>
      </w:pPr>
      <w:r>
        <w:t xml:space="preserve">The stabilization fund is </w:t>
      </w:r>
      <w:r w:rsidR="0095610E">
        <w:t>large</w:t>
      </w:r>
      <w:r>
        <w:t xml:space="preserve">; and </w:t>
      </w:r>
      <w:r w:rsidR="00567064">
        <w:t xml:space="preserve">although </w:t>
      </w:r>
      <w:r>
        <w:t>there is a case to retain a cash flow buffer,</w:t>
      </w:r>
      <w:r w:rsidR="00452DB1">
        <w:t xml:space="preserve"> the fund was not specifically designed with that in mind. </w:t>
      </w:r>
      <w:r>
        <w:t xml:space="preserve"> </w:t>
      </w:r>
      <w:r w:rsidR="00452DB1">
        <w:t>As noted previously, it</w:t>
      </w:r>
      <w:r w:rsidR="00452DB1" w:rsidRPr="00452DB1">
        <w:t xml:space="preserve"> comprises the balance of loans taken by the </w:t>
      </w:r>
      <w:r w:rsidR="00567064">
        <w:t>g</w:t>
      </w:r>
      <w:r w:rsidR="00452DB1" w:rsidRPr="00452DB1">
        <w:t>overnment following the financial crisis</w:t>
      </w:r>
      <w:r w:rsidR="00452DB1">
        <w:t xml:space="preserve">; its size does not </w:t>
      </w:r>
      <w:r w:rsidR="00567064">
        <w:t>reflect</w:t>
      </w:r>
      <w:r w:rsidR="00452DB1">
        <w:t xml:space="preserve"> any calculation about future risk</w:t>
      </w:r>
      <w:r w:rsidR="00567064">
        <w:t>s</w:t>
      </w:r>
      <w:r w:rsidR="00452DB1">
        <w:t xml:space="preserve">, and it is not </w:t>
      </w:r>
      <w:r w:rsidR="00567064">
        <w:t>explicitly</w:t>
      </w:r>
      <w:r w:rsidR="00452DB1">
        <w:t xml:space="preserve"> aimed </w:t>
      </w:r>
      <w:r w:rsidR="00567064">
        <w:t xml:space="preserve">e.g. </w:t>
      </w:r>
      <w:r w:rsidR="00452DB1">
        <w:t>to smooth cash flows across the economic cycle.</w:t>
      </w:r>
      <w:r w:rsidR="00452DB1">
        <w:rPr>
          <w:rStyle w:val="FootnoteReference"/>
        </w:rPr>
        <w:footnoteReference w:id="5"/>
      </w:r>
      <w:r w:rsidR="00452DB1">
        <w:t xml:space="preserve">  </w:t>
      </w:r>
      <w:r w:rsidR="00567064">
        <w:t xml:space="preserve">In the absence of any such objective, </w:t>
      </w:r>
      <w:r>
        <w:t>it is not clear that the full amount of the fund is required (see also below).</w:t>
      </w:r>
      <w:r w:rsidR="00567064">
        <w:t xml:space="preserve"> </w:t>
      </w:r>
      <w:r w:rsidR="00452DB1">
        <w:t xml:space="preserve"> </w:t>
      </w:r>
      <w:r>
        <w:t>It should also be possible to make an assessment of the extent to which the balances are likely to be drawn on by other holders</w:t>
      </w:r>
      <w:r w:rsidR="00D70D12">
        <w:t xml:space="preserve">.  </w:t>
      </w:r>
    </w:p>
    <w:p w14:paraId="26D54B04" w14:textId="1DC4EC2A" w:rsidR="00431941" w:rsidRDefault="00567064" w:rsidP="00452DB1">
      <w:pPr>
        <w:pStyle w:val="ParagraphNumbering"/>
      </w:pPr>
      <w:r>
        <w:t xml:space="preserve">There is nevertheless </w:t>
      </w:r>
      <w:r w:rsidR="00D70D12">
        <w:t xml:space="preserve">a political judgement to be made about the use of cash buffers.  </w:t>
      </w:r>
      <w:r>
        <w:t xml:space="preserve">As discussed with the PDMD, cash buffers have to take account of market risks as well as uncertainty of transactions flows.  </w:t>
      </w:r>
      <w:r w:rsidR="00D70D12">
        <w:t>It may also be the case that, as the moment, the CBA might prefer that the full balances were retained to avoid adding to the structural excess of liquidity.  But it is important that the relevant considerat</w:t>
      </w:r>
      <w:r w:rsidR="0095610E">
        <w:t>ions</w:t>
      </w:r>
      <w:r w:rsidR="00D70D12">
        <w:t xml:space="preserve"> are brought to Ministers’ attention: there is a clear trade-off being cost and caution which should be explicitly addressed.  The workplan is phrased in this sense: i.e. that the use of the cash balances should be explicitly considered in the formulation of the borrowing plan for 2019</w:t>
      </w:r>
      <w:r w:rsidR="0095610E">
        <w:t xml:space="preserve"> (and in due course for 2020)</w:t>
      </w:r>
      <w:r w:rsidR="00D70D12">
        <w:t>.</w:t>
      </w:r>
    </w:p>
    <w:p w14:paraId="095293A3" w14:textId="19EFC0B6" w:rsidR="0095610E" w:rsidRDefault="0095610E" w:rsidP="00856782">
      <w:pPr>
        <w:pStyle w:val="ParagraphNumbering"/>
      </w:pPr>
      <w:r>
        <w:t xml:space="preserve">The PDMD agrees that the “current account” cash buffer should be reviewed.  </w:t>
      </w:r>
      <w:r w:rsidR="00567064">
        <w:t>The safety net provided by the stabilization fund and other cash balances is one of the considerations in deciding the size of the buffer (were the stabilization fund even completely run down, no doubt the “current account” buffer might need to be somewhat higher).  The PDMD</w:t>
      </w:r>
      <w:r>
        <w:t xml:space="preserve"> noted that </w:t>
      </w:r>
      <w:r w:rsidR="00567064">
        <w:t xml:space="preserve">the buffer </w:t>
      </w:r>
      <w:r>
        <w:t xml:space="preserve">might better be defined, not as a nominal sum, but as a ratio of one of the fiscal </w:t>
      </w:r>
      <w:r w:rsidR="00BC012D">
        <w:t>aggregates</w:t>
      </w:r>
      <w:r>
        <w:t xml:space="preserve">. </w:t>
      </w:r>
    </w:p>
    <w:p w14:paraId="42ACD5B2" w14:textId="15AFD08F" w:rsidR="00856782" w:rsidRDefault="00856782" w:rsidP="005E09E7">
      <w:pPr>
        <w:pStyle w:val="Topic2"/>
      </w:pPr>
      <w:bookmarkStart w:id="13" w:name="_Toc523069460"/>
      <w:r>
        <w:t>Cash Flow Forecasting</w:t>
      </w:r>
      <w:bookmarkEnd w:id="13"/>
    </w:p>
    <w:p w14:paraId="1E1F3943" w14:textId="2C82BAC4" w:rsidR="00D15308" w:rsidRDefault="00D15308" w:rsidP="004B223A">
      <w:pPr>
        <w:pStyle w:val="Heading3"/>
      </w:pPr>
      <w:r>
        <w:t>Previous Recommendations</w:t>
      </w:r>
    </w:p>
    <w:tbl>
      <w:tblPr>
        <w:tblStyle w:val="TableGrid"/>
        <w:tblW w:w="0" w:type="auto"/>
        <w:tblLook w:val="04A0" w:firstRow="1" w:lastRow="0" w:firstColumn="1" w:lastColumn="0" w:noHBand="0" w:noVBand="1"/>
      </w:tblPr>
      <w:tblGrid>
        <w:gridCol w:w="1439"/>
        <w:gridCol w:w="3971"/>
        <w:gridCol w:w="3940"/>
      </w:tblGrid>
      <w:tr w:rsidR="00D15308" w:rsidRPr="002D45EF" w14:paraId="0DF5C383" w14:textId="77777777" w:rsidTr="009246B9">
        <w:tc>
          <w:tcPr>
            <w:tcW w:w="9350" w:type="dxa"/>
            <w:gridSpan w:val="3"/>
            <w:tcBorders>
              <w:bottom w:val="single" w:sz="4" w:space="0" w:color="auto"/>
            </w:tcBorders>
            <w:shd w:val="clear" w:color="auto" w:fill="548DD4" w:themeFill="text2" w:themeFillTint="99"/>
          </w:tcPr>
          <w:p w14:paraId="2EE478A9" w14:textId="77777777" w:rsidR="00D15308" w:rsidRPr="002D45EF" w:rsidRDefault="00D15308" w:rsidP="009246B9">
            <w:pPr>
              <w:spacing w:before="120" w:after="120"/>
              <w:jc w:val="center"/>
              <w:rPr>
                <w:rFonts w:cs="Arial"/>
                <w:b/>
                <w:sz w:val="20"/>
                <w:szCs w:val="20"/>
              </w:rPr>
            </w:pPr>
            <w:r w:rsidRPr="002D45EF">
              <w:rPr>
                <w:rFonts w:cs="Arial"/>
                <w:b/>
                <w:sz w:val="20"/>
                <w:szCs w:val="20"/>
              </w:rPr>
              <w:t>Summary of Recommendations</w:t>
            </w:r>
          </w:p>
        </w:tc>
      </w:tr>
      <w:tr w:rsidR="00D15308" w:rsidRPr="002D45EF" w14:paraId="35621F32" w14:textId="77777777" w:rsidTr="009246B9">
        <w:tc>
          <w:tcPr>
            <w:tcW w:w="1439" w:type="dxa"/>
            <w:tcBorders>
              <w:bottom w:val="single" w:sz="4" w:space="0" w:color="auto"/>
            </w:tcBorders>
            <w:shd w:val="clear" w:color="auto" w:fill="B8CCE4" w:themeFill="accent1" w:themeFillTint="66"/>
          </w:tcPr>
          <w:p w14:paraId="285A4372" w14:textId="77777777" w:rsidR="00D15308" w:rsidRPr="002D45EF" w:rsidRDefault="00D15308" w:rsidP="009246B9">
            <w:pPr>
              <w:jc w:val="both"/>
              <w:rPr>
                <w:rFonts w:cs="Arial"/>
                <w:sz w:val="20"/>
                <w:szCs w:val="20"/>
              </w:rPr>
            </w:pPr>
          </w:p>
        </w:tc>
        <w:tc>
          <w:tcPr>
            <w:tcW w:w="3971" w:type="dxa"/>
            <w:shd w:val="clear" w:color="auto" w:fill="B8CCE4" w:themeFill="accent1" w:themeFillTint="66"/>
          </w:tcPr>
          <w:p w14:paraId="29DA3180" w14:textId="77777777" w:rsidR="00D15308" w:rsidRPr="002D45EF" w:rsidRDefault="00D15308" w:rsidP="009246B9">
            <w:pPr>
              <w:spacing w:before="120" w:after="120"/>
              <w:jc w:val="center"/>
              <w:rPr>
                <w:rFonts w:cs="Arial"/>
                <w:b/>
                <w:sz w:val="20"/>
                <w:szCs w:val="20"/>
              </w:rPr>
            </w:pPr>
            <w:r w:rsidRPr="002D45EF">
              <w:rPr>
                <w:rFonts w:cs="Arial"/>
                <w:b/>
                <w:sz w:val="20"/>
                <w:szCs w:val="20"/>
              </w:rPr>
              <w:t xml:space="preserve">Short-term (before end </w:t>
            </w:r>
            <w:r>
              <w:rPr>
                <w:rFonts w:cs="Arial"/>
                <w:b/>
                <w:sz w:val="20"/>
                <w:szCs w:val="20"/>
              </w:rPr>
              <w:t>2</w:t>
            </w:r>
            <w:r w:rsidRPr="002D45EF">
              <w:rPr>
                <w:rFonts w:cs="Arial"/>
                <w:b/>
                <w:sz w:val="20"/>
                <w:szCs w:val="20"/>
              </w:rPr>
              <w:t>018)</w:t>
            </w:r>
          </w:p>
        </w:tc>
        <w:tc>
          <w:tcPr>
            <w:tcW w:w="3940" w:type="dxa"/>
            <w:shd w:val="clear" w:color="auto" w:fill="B8CCE4" w:themeFill="accent1" w:themeFillTint="66"/>
          </w:tcPr>
          <w:p w14:paraId="32A9C11C" w14:textId="77777777" w:rsidR="00D15308" w:rsidRPr="002D45EF" w:rsidRDefault="00D15308" w:rsidP="009246B9">
            <w:pPr>
              <w:spacing w:before="120" w:after="120"/>
              <w:jc w:val="center"/>
              <w:rPr>
                <w:rFonts w:cs="Arial"/>
                <w:b/>
                <w:sz w:val="20"/>
                <w:szCs w:val="20"/>
              </w:rPr>
            </w:pPr>
            <w:r w:rsidRPr="002D45EF">
              <w:rPr>
                <w:rFonts w:cs="Arial"/>
                <w:b/>
                <w:sz w:val="20"/>
                <w:szCs w:val="20"/>
              </w:rPr>
              <w:t>Longer-term (extending beyond 2018)</w:t>
            </w:r>
          </w:p>
        </w:tc>
      </w:tr>
      <w:tr w:rsidR="00D15308" w:rsidRPr="002D45EF" w14:paraId="72195D1D" w14:textId="77777777" w:rsidTr="009246B9">
        <w:tc>
          <w:tcPr>
            <w:tcW w:w="1439" w:type="dxa"/>
            <w:vMerge w:val="restart"/>
            <w:vAlign w:val="center"/>
          </w:tcPr>
          <w:p w14:paraId="14FA2DA9" w14:textId="77777777" w:rsidR="00D15308" w:rsidRPr="002D45EF" w:rsidRDefault="00D15308" w:rsidP="009246B9">
            <w:pPr>
              <w:spacing w:before="60" w:after="60"/>
              <w:rPr>
                <w:rFonts w:cs="Arial"/>
                <w:b/>
                <w:sz w:val="20"/>
                <w:szCs w:val="20"/>
              </w:rPr>
            </w:pPr>
            <w:r w:rsidRPr="002D45EF">
              <w:rPr>
                <w:rFonts w:cs="Arial"/>
                <w:b/>
                <w:sz w:val="20"/>
                <w:szCs w:val="20"/>
              </w:rPr>
              <w:t>Cash Flow Forecasts</w:t>
            </w:r>
          </w:p>
        </w:tc>
        <w:tc>
          <w:tcPr>
            <w:tcW w:w="3971" w:type="dxa"/>
          </w:tcPr>
          <w:p w14:paraId="5CB67A9F" w14:textId="77777777" w:rsidR="00D15308" w:rsidRPr="002D45EF" w:rsidRDefault="00D15308" w:rsidP="009246B9">
            <w:pPr>
              <w:spacing w:before="60" w:after="60"/>
              <w:rPr>
                <w:rFonts w:cs="Arial"/>
                <w:sz w:val="20"/>
                <w:szCs w:val="20"/>
              </w:rPr>
            </w:pPr>
            <w:r w:rsidRPr="002D45EF">
              <w:rPr>
                <w:sz w:val="20"/>
                <w:szCs w:val="20"/>
              </w:rPr>
              <w:t xml:space="preserve">CBA to discuss with the PDMD the information that </w:t>
            </w:r>
            <w:r>
              <w:rPr>
                <w:sz w:val="20"/>
                <w:szCs w:val="20"/>
              </w:rPr>
              <w:t xml:space="preserve">is </w:t>
            </w:r>
            <w:r w:rsidRPr="002D45EF">
              <w:rPr>
                <w:sz w:val="20"/>
                <w:szCs w:val="20"/>
              </w:rPr>
              <w:t xml:space="preserve">available </w:t>
            </w:r>
            <w:r>
              <w:rPr>
                <w:sz w:val="20"/>
                <w:szCs w:val="20"/>
              </w:rPr>
              <w:t>with a view to building forecasts with a long horizon (with a monthly breakdown) t</w:t>
            </w:r>
            <w:r w:rsidRPr="002D45EF">
              <w:rPr>
                <w:sz w:val="20"/>
                <w:szCs w:val="20"/>
              </w:rPr>
              <w:t xml:space="preserve">hat might best meet the CBA’s requirements.  </w:t>
            </w:r>
          </w:p>
        </w:tc>
        <w:tc>
          <w:tcPr>
            <w:tcW w:w="3940" w:type="dxa"/>
          </w:tcPr>
          <w:p w14:paraId="5F8AFD04" w14:textId="77777777" w:rsidR="00D15308" w:rsidRPr="002D45EF" w:rsidRDefault="00D15308" w:rsidP="009246B9">
            <w:pPr>
              <w:spacing w:before="60" w:after="60"/>
              <w:rPr>
                <w:rFonts w:cs="Arial"/>
                <w:sz w:val="20"/>
                <w:szCs w:val="20"/>
              </w:rPr>
            </w:pPr>
            <w:r w:rsidRPr="002D45EF">
              <w:rPr>
                <w:rFonts w:cs="Arial"/>
                <w:sz w:val="20"/>
                <w:szCs w:val="20"/>
              </w:rPr>
              <w:t>PDMD and CBA to review their existing Service Level Agreement covering the flow of information and other interactions</w:t>
            </w:r>
          </w:p>
        </w:tc>
      </w:tr>
      <w:tr w:rsidR="00D15308" w:rsidRPr="002D45EF" w14:paraId="693A7FE0" w14:textId="77777777" w:rsidTr="009246B9">
        <w:tc>
          <w:tcPr>
            <w:tcW w:w="1439" w:type="dxa"/>
            <w:vMerge/>
            <w:vAlign w:val="center"/>
          </w:tcPr>
          <w:p w14:paraId="5216197F" w14:textId="77777777" w:rsidR="00D15308" w:rsidRPr="002D45EF" w:rsidRDefault="00D15308" w:rsidP="009246B9">
            <w:pPr>
              <w:spacing w:before="60" w:after="60"/>
              <w:rPr>
                <w:rFonts w:cs="Arial"/>
                <w:b/>
                <w:sz w:val="20"/>
                <w:szCs w:val="20"/>
              </w:rPr>
            </w:pPr>
          </w:p>
        </w:tc>
        <w:tc>
          <w:tcPr>
            <w:tcW w:w="3971" w:type="dxa"/>
          </w:tcPr>
          <w:p w14:paraId="34DCEFA2" w14:textId="0A3CD360" w:rsidR="00D15308" w:rsidRPr="002D45EF" w:rsidRDefault="00D15308" w:rsidP="009246B9">
            <w:pPr>
              <w:spacing w:before="60" w:after="60"/>
              <w:rPr>
                <w:rFonts w:cs="Arial"/>
                <w:sz w:val="20"/>
                <w:szCs w:val="20"/>
              </w:rPr>
            </w:pPr>
            <w:r w:rsidRPr="002D45EF">
              <w:rPr>
                <w:sz w:val="20"/>
                <w:szCs w:val="20"/>
              </w:rPr>
              <w:t>PDMD to identify the nature of the constraint on information flows from the SRC with a view to recommending internally that the forecasts passed to CBA should take account of all information available.</w:t>
            </w:r>
            <w:r w:rsidR="0095610E">
              <w:rPr>
                <w:rStyle w:val="FootnoteReference"/>
                <w:sz w:val="20"/>
                <w:szCs w:val="20"/>
              </w:rPr>
              <w:footnoteReference w:id="6"/>
            </w:r>
            <w:r w:rsidRPr="002D45EF">
              <w:rPr>
                <w:sz w:val="20"/>
                <w:szCs w:val="20"/>
              </w:rPr>
              <w:t xml:space="preserve">  </w:t>
            </w:r>
          </w:p>
        </w:tc>
        <w:tc>
          <w:tcPr>
            <w:tcW w:w="3940" w:type="dxa"/>
          </w:tcPr>
          <w:p w14:paraId="1AE1F32B" w14:textId="77777777" w:rsidR="00D15308" w:rsidRPr="002D45EF" w:rsidRDefault="00D15308" w:rsidP="009246B9">
            <w:pPr>
              <w:spacing w:before="60" w:after="60"/>
              <w:rPr>
                <w:rFonts w:cs="Arial"/>
                <w:sz w:val="20"/>
                <w:szCs w:val="20"/>
              </w:rPr>
            </w:pPr>
          </w:p>
        </w:tc>
      </w:tr>
      <w:tr w:rsidR="00D15308" w:rsidRPr="002D45EF" w14:paraId="4802B786" w14:textId="77777777" w:rsidTr="009246B9">
        <w:tc>
          <w:tcPr>
            <w:tcW w:w="1439" w:type="dxa"/>
            <w:vMerge/>
            <w:vAlign w:val="center"/>
          </w:tcPr>
          <w:p w14:paraId="0448AA9E" w14:textId="77777777" w:rsidR="00D15308" w:rsidRPr="002D45EF" w:rsidRDefault="00D15308" w:rsidP="009246B9">
            <w:pPr>
              <w:spacing w:before="60" w:after="60"/>
              <w:rPr>
                <w:rFonts w:cs="Arial"/>
                <w:b/>
                <w:sz w:val="20"/>
                <w:szCs w:val="20"/>
              </w:rPr>
            </w:pPr>
          </w:p>
        </w:tc>
        <w:tc>
          <w:tcPr>
            <w:tcW w:w="3971" w:type="dxa"/>
          </w:tcPr>
          <w:p w14:paraId="72C614A3" w14:textId="77777777" w:rsidR="00D15308" w:rsidRPr="002D45EF" w:rsidRDefault="00D15308" w:rsidP="009246B9">
            <w:pPr>
              <w:spacing w:before="60" w:after="60"/>
              <w:rPr>
                <w:rFonts w:cs="Arial"/>
                <w:sz w:val="20"/>
                <w:szCs w:val="20"/>
              </w:rPr>
            </w:pPr>
            <w:r w:rsidRPr="002D45EF">
              <w:rPr>
                <w:sz w:val="20"/>
                <w:szCs w:val="20"/>
              </w:rPr>
              <w:t>PDMD to establish processes for preparing weekly forecasts that extend at least 3 months ahead</w:t>
            </w:r>
          </w:p>
        </w:tc>
        <w:tc>
          <w:tcPr>
            <w:tcW w:w="3940" w:type="dxa"/>
          </w:tcPr>
          <w:p w14:paraId="3412959F" w14:textId="77777777" w:rsidR="00D15308" w:rsidRPr="002D45EF" w:rsidRDefault="00D15308" w:rsidP="009246B9">
            <w:pPr>
              <w:spacing w:before="60" w:after="60"/>
              <w:rPr>
                <w:rFonts w:cs="Arial"/>
                <w:sz w:val="20"/>
                <w:szCs w:val="20"/>
              </w:rPr>
            </w:pPr>
            <w:r w:rsidRPr="002D45EF">
              <w:rPr>
                <w:rFonts w:cs="Arial"/>
                <w:sz w:val="20"/>
                <w:szCs w:val="20"/>
              </w:rPr>
              <w:t>PDMD to build processes for the systematic analysis of forecast errors</w:t>
            </w:r>
          </w:p>
        </w:tc>
      </w:tr>
      <w:tr w:rsidR="00D15308" w:rsidRPr="002D45EF" w14:paraId="227BD2C7" w14:textId="77777777" w:rsidTr="009246B9">
        <w:tc>
          <w:tcPr>
            <w:tcW w:w="1439" w:type="dxa"/>
            <w:vMerge/>
            <w:vAlign w:val="center"/>
          </w:tcPr>
          <w:p w14:paraId="2B476373" w14:textId="77777777" w:rsidR="00D15308" w:rsidRPr="002D45EF" w:rsidRDefault="00D15308" w:rsidP="009246B9">
            <w:pPr>
              <w:spacing w:before="60" w:after="60"/>
              <w:rPr>
                <w:rFonts w:cs="Arial"/>
                <w:b/>
                <w:sz w:val="20"/>
                <w:szCs w:val="20"/>
              </w:rPr>
            </w:pPr>
          </w:p>
        </w:tc>
        <w:tc>
          <w:tcPr>
            <w:tcW w:w="3971" w:type="dxa"/>
          </w:tcPr>
          <w:p w14:paraId="6CBF0F76" w14:textId="77777777" w:rsidR="00D15308" w:rsidRPr="002D45EF" w:rsidRDefault="00D15308" w:rsidP="009246B9">
            <w:pPr>
              <w:spacing w:before="60" w:after="60"/>
              <w:rPr>
                <w:rFonts w:cs="Arial"/>
                <w:sz w:val="20"/>
                <w:szCs w:val="20"/>
              </w:rPr>
            </w:pPr>
            <w:r w:rsidRPr="002D45EF">
              <w:rPr>
                <w:sz w:val="20"/>
                <w:szCs w:val="20"/>
              </w:rPr>
              <w:t xml:space="preserve">PDMD to request (through Ministers) the Tax and Customs Services to complete a simple template each month, setting out their best forecasts for the next 3 months.  </w:t>
            </w:r>
          </w:p>
        </w:tc>
        <w:tc>
          <w:tcPr>
            <w:tcW w:w="3940" w:type="dxa"/>
          </w:tcPr>
          <w:p w14:paraId="78C11627" w14:textId="77777777" w:rsidR="00D15308" w:rsidRPr="002D45EF" w:rsidRDefault="00D15308" w:rsidP="009246B9">
            <w:pPr>
              <w:spacing w:before="60" w:after="60"/>
              <w:rPr>
                <w:rFonts w:cs="Arial"/>
                <w:sz w:val="20"/>
                <w:szCs w:val="20"/>
              </w:rPr>
            </w:pPr>
            <w:r w:rsidRPr="002D45EF">
              <w:rPr>
                <w:rFonts w:cs="Arial"/>
                <w:sz w:val="20"/>
                <w:szCs w:val="20"/>
              </w:rPr>
              <w:t>PDMD to request the tax services to provide forecasts weekly extending at least 3 months ahead</w:t>
            </w:r>
          </w:p>
        </w:tc>
      </w:tr>
      <w:tr w:rsidR="00D15308" w:rsidRPr="002D45EF" w14:paraId="433290C0" w14:textId="77777777" w:rsidTr="009246B9">
        <w:tc>
          <w:tcPr>
            <w:tcW w:w="1439" w:type="dxa"/>
            <w:vMerge/>
            <w:vAlign w:val="center"/>
          </w:tcPr>
          <w:p w14:paraId="0351D278" w14:textId="77777777" w:rsidR="00D15308" w:rsidRPr="002D45EF" w:rsidRDefault="00D15308" w:rsidP="009246B9">
            <w:pPr>
              <w:spacing w:before="60" w:after="60"/>
              <w:rPr>
                <w:rFonts w:cs="Arial"/>
                <w:b/>
                <w:sz w:val="20"/>
                <w:szCs w:val="20"/>
              </w:rPr>
            </w:pPr>
          </w:p>
        </w:tc>
        <w:tc>
          <w:tcPr>
            <w:tcW w:w="3971" w:type="dxa"/>
          </w:tcPr>
          <w:p w14:paraId="75040594" w14:textId="77777777" w:rsidR="00D15308" w:rsidRPr="002D45EF" w:rsidRDefault="00D15308" w:rsidP="009246B9">
            <w:pPr>
              <w:spacing w:before="60" w:after="60"/>
              <w:rPr>
                <w:rFonts w:cs="Arial"/>
                <w:sz w:val="20"/>
                <w:szCs w:val="20"/>
              </w:rPr>
            </w:pPr>
            <w:r w:rsidRPr="002D45EF">
              <w:rPr>
                <w:sz w:val="20"/>
                <w:szCs w:val="20"/>
              </w:rPr>
              <w:t>PDMD to request the EPFPD to put in place arrangements whereby each month it updates the monthly profile for the budget year of expected donor flows.</w:t>
            </w:r>
          </w:p>
        </w:tc>
        <w:tc>
          <w:tcPr>
            <w:tcW w:w="3940" w:type="dxa"/>
          </w:tcPr>
          <w:p w14:paraId="3657039E" w14:textId="77777777" w:rsidR="00D15308" w:rsidRPr="002D45EF" w:rsidRDefault="00D15308" w:rsidP="009246B9">
            <w:pPr>
              <w:spacing w:before="60" w:after="60"/>
              <w:rPr>
                <w:rFonts w:cs="Arial"/>
                <w:sz w:val="20"/>
                <w:szCs w:val="20"/>
              </w:rPr>
            </w:pPr>
            <w:r w:rsidRPr="002D45EF">
              <w:rPr>
                <w:rFonts w:cs="Arial"/>
                <w:sz w:val="20"/>
                <w:szCs w:val="20"/>
              </w:rPr>
              <w:t>PDMD to develop its operational-level contacts in the major line ministries, and potentially also in major EBFs and communities, to develop a flow of forecast information.</w:t>
            </w:r>
          </w:p>
        </w:tc>
      </w:tr>
    </w:tbl>
    <w:p w14:paraId="77B783BF" w14:textId="36520F55" w:rsidR="00D15308" w:rsidRDefault="00D15308" w:rsidP="004B223A">
      <w:pPr>
        <w:pStyle w:val="Heading3"/>
      </w:pPr>
      <w:r>
        <w:t>Commentary</w:t>
      </w:r>
    </w:p>
    <w:p w14:paraId="1A58D53F" w14:textId="6E754F32" w:rsidR="00856782" w:rsidRDefault="0095610E" w:rsidP="00856782">
      <w:pPr>
        <w:pStyle w:val="ParagraphNumbering"/>
      </w:pPr>
      <w:r>
        <w:t>The PDMD will meet shortly with the CBA to discuss the CBA’s data requirements.  However, the envisaged protocol or MoU with the CBA agreement will have to be subject to the approval of Ministers.</w:t>
      </w:r>
      <w:r w:rsidR="003965B7">
        <w:t xml:space="preserve">  There is an existing Service Level Agreement covering many of the services that the CBA supplies.  But in view of the identified gap in relation to information flows, it would be sensible to review the current SLA for its comprehensives and effectiveness; hence the recommendation for such a review for mid-2019. </w:t>
      </w:r>
    </w:p>
    <w:p w14:paraId="52F98AFB" w14:textId="77777777" w:rsidR="007023EF" w:rsidRDefault="00BC012D" w:rsidP="00856782">
      <w:pPr>
        <w:pStyle w:val="ParagraphNumbering"/>
      </w:pPr>
      <w:r>
        <w:t>The PDMD will start to prepare forecast extending 13 weeks (3 months) ahead.  However, it noted that it would be unable in, say, November to prepare forecasts for the next 3 months, since there would be no approved State Budget for the following year.  Moreover, even though a budget m</w:t>
      </w:r>
      <w:r w:rsidR="007023EF">
        <w:t>ight</w:t>
      </w:r>
      <w:r>
        <w:t xml:space="preserve"> have been prepared within the MoF it </w:t>
      </w:r>
      <w:r w:rsidR="007023EF">
        <w:t>would</w:t>
      </w:r>
      <w:r>
        <w:t xml:space="preserve"> always</w:t>
      </w:r>
      <w:r w:rsidR="007023EF">
        <w:t xml:space="preserve"> be</w:t>
      </w:r>
      <w:r>
        <w:t xml:space="preserve"> subject to change in Parliament.  </w:t>
      </w:r>
      <w:r w:rsidR="007023EF">
        <w:t xml:space="preserve">For this reason, the first full 13-week/3-month forecast will not be available until the end of January 2019 at the earliest, i.e. after approval of the Parliament and the subsequent submission of profiles by the agencies.  </w:t>
      </w:r>
    </w:p>
    <w:p w14:paraId="45F3461E" w14:textId="7FDCB9D7" w:rsidR="00BC012D" w:rsidRDefault="007023EF" w:rsidP="00856782">
      <w:pPr>
        <w:pStyle w:val="ParagraphNumbering"/>
      </w:pPr>
      <w:r>
        <w:t>Although this constraint is recognized in the suggested target for the immediate future, as active cash management develops in future years, it will be essential that there is always a 3-month rolling forecast available, however uncertain, to underpin the forthcoming T-bill (and T-bond) issuance program.</w:t>
      </w:r>
      <w:r w:rsidR="003965B7">
        <w:t xml:space="preserve">  Thus the forecasts prepared towards the end of 2019 should always extend 3-months ahead even if some of the future months are highly uncertain. </w:t>
      </w:r>
    </w:p>
    <w:p w14:paraId="76360753" w14:textId="1E59BBFA" w:rsidR="007023EF" w:rsidRDefault="007023EF" w:rsidP="00856782">
      <w:pPr>
        <w:pStyle w:val="ParagraphNumbering"/>
      </w:pPr>
      <w:r>
        <w:t xml:space="preserve">The PDMD has noted that it regularly reviews forecast errors during the year, taking them into account in the forecasts for the period immediately ahead.  The suggested recommendation therefore focuses on the need for an annual review (by the end of the first </w:t>
      </w:r>
      <w:r>
        <w:lastRenderedPageBreak/>
        <w:t>quarter) of forecast performance over the previous year as a whole, with a view to feeding lessons learnt into future forecast procedures.</w:t>
      </w:r>
    </w:p>
    <w:p w14:paraId="490E11CB" w14:textId="0E183466" w:rsidR="003965B7" w:rsidRDefault="003965B7" w:rsidP="003965B7">
      <w:pPr>
        <w:pStyle w:val="ParagraphNumbering"/>
      </w:pPr>
      <w:r>
        <w:t>The PDMD is content to propose that Ministers write to the SRC to initiate discussion on the flow for forecast information, although the PDMD noted that it may be decided to approach the SRC through some other route.</w:t>
      </w:r>
      <w:r>
        <w:rPr>
          <w:rStyle w:val="FootnoteReference"/>
        </w:rPr>
        <w:footnoteReference w:id="7"/>
      </w:r>
    </w:p>
    <w:p w14:paraId="738D29ED" w14:textId="61EBAB47" w:rsidR="007023EF" w:rsidRDefault="007023EF" w:rsidP="007023EF">
      <w:pPr>
        <w:pStyle w:val="ParagraphNumbering"/>
      </w:pPr>
      <w:r>
        <w:t xml:space="preserve">The PDMD will discuss with the </w:t>
      </w:r>
      <w:r w:rsidRPr="007023EF">
        <w:t>EPFPD</w:t>
      </w:r>
      <w:r>
        <w:t xml:space="preserve"> the scope for </w:t>
      </w:r>
      <w:r w:rsidR="005802A9">
        <w:t xml:space="preserve">additional </w:t>
      </w:r>
      <w:r>
        <w:t>in-year</w:t>
      </w:r>
      <w:r w:rsidR="005802A9">
        <w:t xml:space="preserve"> updates of profiles.</w:t>
      </w:r>
    </w:p>
    <w:p w14:paraId="0D290565" w14:textId="63F636A2" w:rsidR="00856782" w:rsidRDefault="005802A9" w:rsidP="00856782">
      <w:pPr>
        <w:pStyle w:val="ParagraphNumbering"/>
      </w:pPr>
      <w:r>
        <w:t>The PDMD is skeptical of the scope for receiving useful additional information from line ministries, even if the exercise focused only on the larger or more competent ones.  It notes:</w:t>
      </w:r>
    </w:p>
    <w:p w14:paraId="76A71AE0" w14:textId="3F333503" w:rsidR="005802A9" w:rsidRDefault="005802A9" w:rsidP="002A59E9">
      <w:pPr>
        <w:pStyle w:val="ListBullet"/>
        <w:tabs>
          <w:tab w:val="clear" w:pos="720"/>
        </w:tabs>
        <w:ind w:left="426" w:hanging="426"/>
      </w:pPr>
      <w:r>
        <w:t>Previous experience suggest</w:t>
      </w:r>
      <w:r w:rsidR="002A59E9">
        <w:t xml:space="preserve">s </w:t>
      </w:r>
      <w:r>
        <w:t>that ministries do not in practice give sufficient thought to such request</w:t>
      </w:r>
      <w:r w:rsidR="002A59E9">
        <w:t>s</w:t>
      </w:r>
      <w:r>
        <w:t>, and will only repeat their expenditure plans.</w:t>
      </w:r>
    </w:p>
    <w:p w14:paraId="2A8596C6" w14:textId="34FFDB96" w:rsidR="002A59E9" w:rsidRDefault="002A59E9" w:rsidP="002A59E9">
      <w:pPr>
        <w:pStyle w:val="ListBullet"/>
        <w:tabs>
          <w:tab w:val="clear" w:pos="720"/>
        </w:tabs>
        <w:ind w:left="426" w:hanging="426"/>
      </w:pPr>
      <w:r>
        <w:t>Building personal contacts with the line ministries potentially very resource intensive for uncertain gain.</w:t>
      </w:r>
      <w:r w:rsidR="00385896">
        <w:t xml:space="preserve">  It may also be preferable to ask all agencies to complete a return </w:t>
      </w:r>
      <w:r w:rsidR="005E09E7">
        <w:t>rather than</w:t>
      </w:r>
      <w:r w:rsidR="00385896">
        <w:t xml:space="preserve"> focus</w:t>
      </w:r>
      <w:r w:rsidR="005E09E7">
        <w:t>ing</w:t>
      </w:r>
      <w:r w:rsidR="00385896">
        <w:t xml:space="preserve"> only on the larger ones.</w:t>
      </w:r>
    </w:p>
    <w:p w14:paraId="07F6BA81" w14:textId="67035ADC" w:rsidR="005802A9" w:rsidRDefault="002A59E9" w:rsidP="002A59E9">
      <w:pPr>
        <w:pStyle w:val="ListBullet"/>
        <w:tabs>
          <w:tab w:val="clear" w:pos="720"/>
        </w:tabs>
        <w:ind w:left="426" w:hanging="426"/>
      </w:pPr>
      <w:r>
        <w:t xml:space="preserve">Program budgets are to be introduced in 2019; it will take time for the new arrangements to settle down. </w:t>
      </w:r>
    </w:p>
    <w:p w14:paraId="06C1A9D4" w14:textId="4F3F0A41" w:rsidR="002A59E9" w:rsidRDefault="002A59E9" w:rsidP="002A59E9">
      <w:pPr>
        <w:pStyle w:val="ListBullet"/>
        <w:tabs>
          <w:tab w:val="clear" w:pos="720"/>
        </w:tabs>
        <w:ind w:left="426" w:hanging="426"/>
      </w:pPr>
      <w:r>
        <w:t xml:space="preserve">The </w:t>
      </w:r>
      <w:bookmarkStart w:id="14" w:name="_Hlk522874143"/>
      <w:r>
        <w:t xml:space="preserve">Expenditures Financing Department </w:t>
      </w:r>
      <w:bookmarkEnd w:id="14"/>
      <w:r>
        <w:t xml:space="preserve">(EFD) within the MoF is already in touch with the spending units and often learns of forthcoming unusual or exceptional transactions.  It can pass that information to the PDMD. </w:t>
      </w:r>
    </w:p>
    <w:p w14:paraId="295CDBD4" w14:textId="78C3485D" w:rsidR="005802A9" w:rsidRDefault="002A59E9" w:rsidP="008C4007">
      <w:pPr>
        <w:pStyle w:val="ParagraphNumbering"/>
      </w:pPr>
      <w:r>
        <w:t xml:space="preserve">Against this background, the consultant agrees that the previous recommendation should be pushed back by a quarter; and framed in terms of developing a plan to secure an improved </w:t>
      </w:r>
      <w:r w:rsidR="00385896">
        <w:t>information</w:t>
      </w:r>
      <w:r>
        <w:t xml:space="preserve"> </w:t>
      </w:r>
      <w:r w:rsidR="00385896">
        <w:t xml:space="preserve">flow </w:t>
      </w:r>
      <w:r>
        <w:t>from spending units in support of the forecasts.  If information is available fr</w:t>
      </w:r>
      <w:r w:rsidR="00385896">
        <w:t>o</w:t>
      </w:r>
      <w:r>
        <w:t xml:space="preserve">m the </w:t>
      </w:r>
      <w:r w:rsidR="008C4007">
        <w:t xml:space="preserve">EFD, </w:t>
      </w:r>
      <w:r w:rsidR="00385896">
        <w:t>it</w:t>
      </w:r>
      <w:r w:rsidR="008C4007">
        <w:t xml:space="preserve"> should certainly be used, albeit with caution.</w:t>
      </w:r>
      <w:r w:rsidR="008C4007">
        <w:rPr>
          <w:rStyle w:val="FootnoteReference"/>
        </w:rPr>
        <w:footnoteReference w:id="8"/>
      </w:r>
      <w:r w:rsidR="00385896">
        <w:t xml:space="preserve">  The envisaged study would identify the main sources of expenditure uncertainty or volatility (whether in relation to generic expenditure categories, e.g. </w:t>
      </w:r>
      <w:r w:rsidR="007C22BD">
        <w:t>capital</w:t>
      </w:r>
      <w:r w:rsidR="00385896">
        <w:t xml:space="preserve"> investments, or ministries, e.g. defense); and whether there are potentially other sources of information that could </w:t>
      </w:r>
      <w:r w:rsidR="007C22BD">
        <w:t xml:space="preserve">be availed to </w:t>
      </w:r>
      <w:r w:rsidR="00385896">
        <w:t>reduce that uncertainty.  At this stage, the consultant is not seeking to prejudge the outcome of that work, only recommending that it be done.</w:t>
      </w:r>
    </w:p>
    <w:p w14:paraId="4FB6E03F" w14:textId="1B5FC434" w:rsidR="00856782" w:rsidRDefault="00856782" w:rsidP="005E09E7">
      <w:pPr>
        <w:pStyle w:val="Topic2"/>
      </w:pPr>
      <w:bookmarkStart w:id="15" w:name="_Toc523069461"/>
      <w:r>
        <w:lastRenderedPageBreak/>
        <w:t>Active Cash Management</w:t>
      </w:r>
      <w:bookmarkEnd w:id="15"/>
    </w:p>
    <w:p w14:paraId="25CFBB83" w14:textId="170DD04A" w:rsidR="00D15308" w:rsidRDefault="00D15308" w:rsidP="004B223A">
      <w:pPr>
        <w:pStyle w:val="Heading3"/>
      </w:pPr>
      <w:r>
        <w:t>Previous Recommendations</w:t>
      </w:r>
    </w:p>
    <w:tbl>
      <w:tblPr>
        <w:tblStyle w:val="TableGrid"/>
        <w:tblW w:w="0" w:type="auto"/>
        <w:tblLook w:val="04A0" w:firstRow="1" w:lastRow="0" w:firstColumn="1" w:lastColumn="0" w:noHBand="0" w:noVBand="1"/>
      </w:tblPr>
      <w:tblGrid>
        <w:gridCol w:w="1439"/>
        <w:gridCol w:w="3971"/>
        <w:gridCol w:w="3940"/>
      </w:tblGrid>
      <w:tr w:rsidR="00D15308" w:rsidRPr="002D45EF" w14:paraId="589FE34A" w14:textId="77777777" w:rsidTr="009246B9">
        <w:tc>
          <w:tcPr>
            <w:tcW w:w="9350" w:type="dxa"/>
            <w:gridSpan w:val="3"/>
            <w:tcBorders>
              <w:bottom w:val="single" w:sz="4" w:space="0" w:color="auto"/>
            </w:tcBorders>
            <w:shd w:val="clear" w:color="auto" w:fill="548DD4" w:themeFill="text2" w:themeFillTint="99"/>
          </w:tcPr>
          <w:p w14:paraId="2D595F0B" w14:textId="77777777" w:rsidR="00D15308" w:rsidRPr="002D45EF" w:rsidRDefault="00D15308" w:rsidP="00C86F96">
            <w:pPr>
              <w:keepNext/>
              <w:spacing w:before="120" w:after="120"/>
              <w:jc w:val="center"/>
              <w:rPr>
                <w:rFonts w:cs="Arial"/>
                <w:b/>
                <w:sz w:val="20"/>
                <w:szCs w:val="20"/>
              </w:rPr>
            </w:pPr>
            <w:r w:rsidRPr="002D45EF">
              <w:rPr>
                <w:rFonts w:cs="Arial"/>
                <w:b/>
                <w:sz w:val="20"/>
                <w:szCs w:val="20"/>
              </w:rPr>
              <w:t>Summary of Recommendations</w:t>
            </w:r>
          </w:p>
        </w:tc>
      </w:tr>
      <w:tr w:rsidR="00D15308" w:rsidRPr="002D45EF" w14:paraId="4B588B23" w14:textId="77777777" w:rsidTr="009246B9">
        <w:tc>
          <w:tcPr>
            <w:tcW w:w="1439" w:type="dxa"/>
            <w:tcBorders>
              <w:bottom w:val="single" w:sz="4" w:space="0" w:color="auto"/>
            </w:tcBorders>
            <w:shd w:val="clear" w:color="auto" w:fill="B8CCE4" w:themeFill="accent1" w:themeFillTint="66"/>
          </w:tcPr>
          <w:p w14:paraId="08DF73DD" w14:textId="77777777" w:rsidR="00D15308" w:rsidRPr="002D45EF" w:rsidRDefault="00D15308" w:rsidP="00C86F96">
            <w:pPr>
              <w:keepNext/>
              <w:jc w:val="both"/>
              <w:rPr>
                <w:rFonts w:cs="Arial"/>
                <w:sz w:val="20"/>
                <w:szCs w:val="20"/>
              </w:rPr>
            </w:pPr>
          </w:p>
        </w:tc>
        <w:tc>
          <w:tcPr>
            <w:tcW w:w="3971" w:type="dxa"/>
            <w:shd w:val="clear" w:color="auto" w:fill="B8CCE4" w:themeFill="accent1" w:themeFillTint="66"/>
          </w:tcPr>
          <w:p w14:paraId="7F6CA0ED" w14:textId="77777777" w:rsidR="00D15308" w:rsidRPr="002D45EF" w:rsidRDefault="00D15308" w:rsidP="00C86F96">
            <w:pPr>
              <w:keepNext/>
              <w:spacing w:before="120" w:after="120"/>
              <w:jc w:val="center"/>
              <w:rPr>
                <w:rFonts w:cs="Arial"/>
                <w:b/>
                <w:sz w:val="20"/>
                <w:szCs w:val="20"/>
              </w:rPr>
            </w:pPr>
            <w:r w:rsidRPr="002D45EF">
              <w:rPr>
                <w:rFonts w:cs="Arial"/>
                <w:b/>
                <w:sz w:val="20"/>
                <w:szCs w:val="20"/>
              </w:rPr>
              <w:t xml:space="preserve">Short-term (before end </w:t>
            </w:r>
            <w:r>
              <w:rPr>
                <w:rFonts w:cs="Arial"/>
                <w:b/>
                <w:sz w:val="20"/>
                <w:szCs w:val="20"/>
              </w:rPr>
              <w:t>2</w:t>
            </w:r>
            <w:r w:rsidRPr="002D45EF">
              <w:rPr>
                <w:rFonts w:cs="Arial"/>
                <w:b/>
                <w:sz w:val="20"/>
                <w:szCs w:val="20"/>
              </w:rPr>
              <w:t>018)</w:t>
            </w:r>
          </w:p>
        </w:tc>
        <w:tc>
          <w:tcPr>
            <w:tcW w:w="3940" w:type="dxa"/>
            <w:shd w:val="clear" w:color="auto" w:fill="B8CCE4" w:themeFill="accent1" w:themeFillTint="66"/>
          </w:tcPr>
          <w:p w14:paraId="0566946B" w14:textId="77777777" w:rsidR="00D15308" w:rsidRPr="002D45EF" w:rsidRDefault="00D15308" w:rsidP="00C86F96">
            <w:pPr>
              <w:keepNext/>
              <w:spacing w:before="120" w:after="120"/>
              <w:jc w:val="center"/>
              <w:rPr>
                <w:rFonts w:cs="Arial"/>
                <w:b/>
                <w:sz w:val="20"/>
                <w:szCs w:val="20"/>
              </w:rPr>
            </w:pPr>
            <w:r w:rsidRPr="002D45EF">
              <w:rPr>
                <w:rFonts w:cs="Arial"/>
                <w:b/>
                <w:sz w:val="20"/>
                <w:szCs w:val="20"/>
              </w:rPr>
              <w:t>Longer-term (extending beyond 2018)</w:t>
            </w:r>
          </w:p>
        </w:tc>
      </w:tr>
      <w:tr w:rsidR="00D15308" w:rsidRPr="002D45EF" w14:paraId="5DF95180" w14:textId="77777777" w:rsidTr="009246B9">
        <w:tc>
          <w:tcPr>
            <w:tcW w:w="1439" w:type="dxa"/>
            <w:vMerge w:val="restart"/>
            <w:vAlign w:val="center"/>
          </w:tcPr>
          <w:p w14:paraId="7AFF0C18" w14:textId="77777777" w:rsidR="00D15308" w:rsidRPr="002D45EF" w:rsidRDefault="00D15308" w:rsidP="009246B9">
            <w:pPr>
              <w:spacing w:before="60" w:after="60"/>
              <w:rPr>
                <w:rFonts w:cs="Arial"/>
                <w:b/>
                <w:sz w:val="20"/>
                <w:szCs w:val="20"/>
              </w:rPr>
            </w:pPr>
            <w:r w:rsidRPr="002D45EF">
              <w:rPr>
                <w:rFonts w:cs="Arial"/>
                <w:b/>
                <w:sz w:val="20"/>
                <w:szCs w:val="20"/>
              </w:rPr>
              <w:t>Active Cash Management</w:t>
            </w:r>
          </w:p>
        </w:tc>
        <w:tc>
          <w:tcPr>
            <w:tcW w:w="3971" w:type="dxa"/>
          </w:tcPr>
          <w:p w14:paraId="257FF97E" w14:textId="77777777" w:rsidR="00D15308" w:rsidRPr="002D45EF" w:rsidRDefault="00D15308" w:rsidP="009246B9">
            <w:pPr>
              <w:spacing w:before="60" w:after="60"/>
              <w:rPr>
                <w:rFonts w:cs="Arial"/>
                <w:sz w:val="20"/>
                <w:szCs w:val="20"/>
              </w:rPr>
            </w:pPr>
            <w:r w:rsidRPr="002D45EF">
              <w:rPr>
                <w:rFonts w:cs="Arial"/>
                <w:sz w:val="20"/>
                <w:szCs w:val="20"/>
              </w:rPr>
              <w:t>PDMD to develop an outline action plan to move to more active cash management</w:t>
            </w:r>
          </w:p>
        </w:tc>
        <w:tc>
          <w:tcPr>
            <w:tcW w:w="3940" w:type="dxa"/>
          </w:tcPr>
          <w:p w14:paraId="39932B85" w14:textId="77777777" w:rsidR="00D15308" w:rsidRPr="002D45EF" w:rsidRDefault="00D15308" w:rsidP="009246B9">
            <w:pPr>
              <w:spacing w:before="60" w:after="60"/>
              <w:rPr>
                <w:rFonts w:cs="Arial"/>
                <w:sz w:val="20"/>
                <w:szCs w:val="20"/>
              </w:rPr>
            </w:pPr>
          </w:p>
        </w:tc>
      </w:tr>
      <w:tr w:rsidR="00D15308" w:rsidRPr="002D45EF" w14:paraId="6EDF7CB7" w14:textId="77777777" w:rsidTr="009246B9">
        <w:tc>
          <w:tcPr>
            <w:tcW w:w="1439" w:type="dxa"/>
            <w:vMerge/>
          </w:tcPr>
          <w:p w14:paraId="40B88094" w14:textId="77777777" w:rsidR="00D15308" w:rsidRPr="002D45EF" w:rsidRDefault="00D15308" w:rsidP="009246B9">
            <w:pPr>
              <w:spacing w:before="60" w:after="60"/>
              <w:jc w:val="both"/>
              <w:rPr>
                <w:rFonts w:cs="Arial"/>
                <w:sz w:val="20"/>
                <w:szCs w:val="20"/>
              </w:rPr>
            </w:pPr>
          </w:p>
        </w:tc>
        <w:tc>
          <w:tcPr>
            <w:tcW w:w="3971" w:type="dxa"/>
          </w:tcPr>
          <w:p w14:paraId="012988E2" w14:textId="77777777" w:rsidR="00D15308" w:rsidRPr="002D45EF" w:rsidRDefault="00D15308" w:rsidP="009246B9">
            <w:pPr>
              <w:spacing w:before="60" w:after="60"/>
              <w:rPr>
                <w:rFonts w:cs="Arial"/>
                <w:sz w:val="20"/>
                <w:szCs w:val="20"/>
              </w:rPr>
            </w:pPr>
            <w:r w:rsidRPr="002D45EF">
              <w:rPr>
                <w:rFonts w:cs="Arial"/>
                <w:sz w:val="20"/>
                <w:szCs w:val="20"/>
              </w:rPr>
              <w:t>PDMD to establish a Cash Coordinating Committee</w:t>
            </w:r>
          </w:p>
        </w:tc>
        <w:tc>
          <w:tcPr>
            <w:tcW w:w="3940" w:type="dxa"/>
          </w:tcPr>
          <w:p w14:paraId="3174F4C8" w14:textId="77777777" w:rsidR="00D15308" w:rsidRPr="002D45EF" w:rsidRDefault="00D15308" w:rsidP="009246B9">
            <w:pPr>
              <w:spacing w:before="60" w:after="60"/>
              <w:rPr>
                <w:rFonts w:cs="Arial"/>
                <w:sz w:val="20"/>
                <w:szCs w:val="20"/>
              </w:rPr>
            </w:pPr>
          </w:p>
        </w:tc>
      </w:tr>
    </w:tbl>
    <w:p w14:paraId="0EC05894" w14:textId="77777777" w:rsidR="00D15308" w:rsidRDefault="00D15308" w:rsidP="00D15308">
      <w:pPr>
        <w:pStyle w:val="ParagraphNumbering"/>
        <w:numPr>
          <w:ilvl w:val="0"/>
          <w:numId w:val="0"/>
        </w:numPr>
      </w:pPr>
    </w:p>
    <w:p w14:paraId="21350338" w14:textId="61ED6550" w:rsidR="00856782" w:rsidRDefault="00D15308" w:rsidP="004B223A">
      <w:pPr>
        <w:pStyle w:val="Heading3"/>
      </w:pPr>
      <w:r>
        <w:t>Commentary</w:t>
      </w:r>
    </w:p>
    <w:p w14:paraId="29D9EC1C" w14:textId="69297DD3" w:rsidR="007C22BD" w:rsidRDefault="000D5C6C" w:rsidP="00856782">
      <w:pPr>
        <w:pStyle w:val="ParagraphNumbering"/>
      </w:pPr>
      <w:r>
        <w:t>As outlined in the previous report, it is clear that t</w:t>
      </w:r>
      <w:r w:rsidR="007C22BD">
        <w:t>he move to more active cash management will be a</w:t>
      </w:r>
      <w:r w:rsidR="007E74A5">
        <w:t xml:space="preserve"> </w:t>
      </w:r>
      <w:r w:rsidR="009A25D8">
        <w:t xml:space="preserve">lengthy </w:t>
      </w:r>
      <w:r w:rsidR="007C22BD">
        <w:t>process</w:t>
      </w:r>
      <w:r>
        <w:t>.  In some respects, it will have to be developed</w:t>
      </w:r>
      <w:r w:rsidR="007C22BD">
        <w:t xml:space="preserve"> over </w:t>
      </w:r>
      <w:r>
        <w:t>a somewhat longer period than previously envisaged</w:t>
      </w:r>
      <w:r w:rsidR="00B13ADF">
        <w:t>, a point emphasized in discussion by the PDMD.</w:t>
      </w:r>
      <w:r>
        <w:t xml:space="preserve"> </w:t>
      </w:r>
    </w:p>
    <w:p w14:paraId="69E429EB" w14:textId="1B358E59" w:rsidR="000D5C6C" w:rsidRDefault="000D5C6C" w:rsidP="00856782">
      <w:pPr>
        <w:pStyle w:val="ParagraphNumbering"/>
      </w:pPr>
      <w:r>
        <w:t xml:space="preserve">The fluctuations in the TSA are very large compared with the volumes of </w:t>
      </w:r>
      <w:r w:rsidR="007207F4">
        <w:t>T-bills</w:t>
      </w:r>
      <w:r>
        <w:t xml:space="preserve"> issued at auction.  The difference between the lowest and highest cash balance within the month is typically of the order of AMD 50 billion, with a net outflow preceding a net inf</w:t>
      </w:r>
      <w:r w:rsidR="005E09E7">
        <w:t>low</w:t>
      </w:r>
      <w:r>
        <w:t>.  That is huge compared with a typical T-bill issue of AMD 1 billion; and there is no way that in current circumstance</w:t>
      </w:r>
      <w:r w:rsidR="005E09E7">
        <w:t>s</w:t>
      </w:r>
      <w:r>
        <w:t xml:space="preserve"> sufficient additional T-bills (e.g. 2-week bills in the first half of the month, redeemed in the second half of the month) could be issued to close that gap.  There is a case for increasing the stock of T-bills somewhat; at less than AMD 30 billion</w:t>
      </w:r>
      <w:r w:rsidR="005E09E7">
        <w:t xml:space="preserve"> it</w:t>
      </w:r>
      <w:r>
        <w:t xml:space="preserve"> is </w:t>
      </w:r>
      <w:r w:rsidR="005F0112">
        <w:t>only some 5 percent of the total stock of domestic securities.  But there is arguably also a strong case for more frequent issuance of short-term T-bills (e.g. 1- and 3-month); that would bring greater activity to the money market and make it easier for the banks’ to accommodate themselves to fluctuations in their balance sheets.</w:t>
      </w:r>
      <w:r w:rsidR="005F0112">
        <w:rPr>
          <w:rStyle w:val="FootnoteReference"/>
        </w:rPr>
        <w:footnoteReference w:id="9"/>
      </w:r>
      <w:r w:rsidR="005F0112">
        <w:t xml:space="preserve">  Regular weekly or bi-weekly</w:t>
      </w:r>
      <w:r w:rsidR="005E09E7">
        <w:t xml:space="preserve"> issuance</w:t>
      </w:r>
      <w:r w:rsidR="005F0112">
        <w:t xml:space="preserve"> of short-term T-bills is a characteristic of all developed money markets.</w:t>
      </w:r>
      <w:r w:rsidR="005F0112">
        <w:rPr>
          <w:rStyle w:val="FootnoteReference"/>
        </w:rPr>
        <w:footnoteReference w:id="10"/>
      </w:r>
      <w:r w:rsidR="005F0112">
        <w:t xml:space="preserve">  Longer T-bill maturities might be issued less frequently.  Only when there is regular issuance of somewhat larger sums than currently will it be possible to start varying the issuance in ways to offset the fluctuations in the TSA.</w:t>
      </w:r>
      <w:r w:rsidR="00766F4B">
        <w:rPr>
          <w:rStyle w:val="FootnoteReference"/>
        </w:rPr>
        <w:footnoteReference w:id="11"/>
      </w:r>
    </w:p>
    <w:p w14:paraId="3F8174D3" w14:textId="70A2AB0B" w:rsidR="009A09D5" w:rsidRDefault="005F0112" w:rsidP="00856782">
      <w:pPr>
        <w:pStyle w:val="ParagraphNumbering"/>
      </w:pPr>
      <w:r>
        <w:t>There are also very large movements in the TSA across the year.  As previously shown, it</w:t>
      </w:r>
      <w:r w:rsidR="009C171F">
        <w:t xml:space="preserve"> </w:t>
      </w:r>
      <w:r>
        <w:t xml:space="preserve">peaked at about </w:t>
      </w:r>
      <w:r w:rsidR="009C171F">
        <w:t xml:space="preserve">AMD 200 billion in 2017, falling to AMD 50 billion at one point before rising again towards the end of the year.  Fluctuations off this order cannot be managed through T-bills.  However, the T-bond issuance program can be designed in such a way as to reduce the </w:t>
      </w:r>
      <w:r w:rsidR="009C171F">
        <w:lastRenderedPageBreak/>
        <w:t xml:space="preserve">extent of the fluctuations.  That is already done in part; most redemptions are planned for April and October which are the months of greatest inflow from tax receipts.  </w:t>
      </w:r>
      <w:r w:rsidR="005C7734">
        <w:t xml:space="preserve">But there has otherwise been little attempt to design the issuance program in such as way as to smooth the TSA across the year.  Recent experience is illustrated in Figure 1 which shows the monthly TSA </w:t>
      </w:r>
      <w:r w:rsidR="009A09D5">
        <w:t>flows as forecast</w:t>
      </w:r>
      <w:r w:rsidR="005C7734">
        <w:t xml:space="preserve"> at the start of the year before and after allowing for domestic debt issuance (</w:t>
      </w:r>
      <w:r w:rsidR="009A09D5">
        <w:t>both net and gross issuance for 2018).  The forecast issuance program in 2017 did nothing to smooth TSA flows (i.e. keep them close to zero each month; the charts show monthly changes)</w:t>
      </w:r>
      <w:r w:rsidR="00437978">
        <w:t>;</w:t>
      </w:r>
      <w:r w:rsidR="009A09D5">
        <w:t xml:space="preserve"> and that in 2018 seems to have made the profile if anything worse (the green and blue series compared with the red series)</w:t>
      </w:r>
      <w:r w:rsidR="00437978">
        <w:t>.</w:t>
      </w:r>
    </w:p>
    <w:p w14:paraId="0C939FA7" w14:textId="0E0E03BA" w:rsidR="009A09D5" w:rsidRDefault="009A09D5" w:rsidP="00C86F96">
      <w:pPr>
        <w:pStyle w:val="Heading4"/>
      </w:pPr>
      <w:r>
        <w:t>Figure 1: TSA Forecasts before and after Domestic Debt Issuance</w:t>
      </w:r>
    </w:p>
    <w:tbl>
      <w:tblPr>
        <w:tblStyle w:val="TableGrid"/>
        <w:tblW w:w="0" w:type="auto"/>
        <w:tblCellMar>
          <w:left w:w="0" w:type="dxa"/>
          <w:right w:w="0" w:type="dxa"/>
        </w:tblCellMar>
        <w:tblLook w:val="04A0" w:firstRow="1" w:lastRow="0" w:firstColumn="1" w:lastColumn="0" w:noHBand="0" w:noVBand="1"/>
      </w:tblPr>
      <w:tblGrid>
        <w:gridCol w:w="4685"/>
        <w:gridCol w:w="4685"/>
      </w:tblGrid>
      <w:tr w:rsidR="009A09D5" w14:paraId="78AE48E7" w14:textId="77777777" w:rsidTr="00C86F96">
        <w:tc>
          <w:tcPr>
            <w:tcW w:w="4675" w:type="dxa"/>
          </w:tcPr>
          <w:p w14:paraId="32D8BA83" w14:textId="1A925D2E" w:rsidR="009A09D5" w:rsidRDefault="009A09D5" w:rsidP="00C86F96">
            <w:pPr>
              <w:pStyle w:val="ParagraphNumbering"/>
              <w:numPr>
                <w:ilvl w:val="0"/>
                <w:numId w:val="0"/>
              </w:numPr>
              <w:spacing w:after="0"/>
            </w:pPr>
            <w:r>
              <w:rPr>
                <w:noProof/>
              </w:rPr>
              <w:drawing>
                <wp:inline distT="0" distB="0" distL="0" distR="0" wp14:anchorId="3CB438CF" wp14:editId="0EDDBFBD">
                  <wp:extent cx="2991260" cy="179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4774" cy="1816542"/>
                          </a:xfrm>
                          <a:prstGeom prst="rect">
                            <a:avLst/>
                          </a:prstGeom>
                          <a:noFill/>
                        </pic:spPr>
                      </pic:pic>
                    </a:graphicData>
                  </a:graphic>
                </wp:inline>
              </w:drawing>
            </w:r>
          </w:p>
        </w:tc>
        <w:tc>
          <w:tcPr>
            <w:tcW w:w="4675" w:type="dxa"/>
          </w:tcPr>
          <w:p w14:paraId="3F77F993" w14:textId="05EF5BE2" w:rsidR="009A09D5" w:rsidRDefault="009A09D5" w:rsidP="00C86F96">
            <w:pPr>
              <w:pStyle w:val="ParagraphNumbering"/>
              <w:numPr>
                <w:ilvl w:val="0"/>
                <w:numId w:val="0"/>
              </w:numPr>
              <w:spacing w:after="0"/>
            </w:pPr>
            <w:r>
              <w:rPr>
                <w:noProof/>
              </w:rPr>
              <w:drawing>
                <wp:inline distT="0" distB="0" distL="0" distR="0" wp14:anchorId="6115BC3B" wp14:editId="4905826B">
                  <wp:extent cx="2988506" cy="17964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5396" cy="1812579"/>
                          </a:xfrm>
                          <a:prstGeom prst="rect">
                            <a:avLst/>
                          </a:prstGeom>
                          <a:noFill/>
                        </pic:spPr>
                      </pic:pic>
                    </a:graphicData>
                  </a:graphic>
                </wp:inline>
              </w:drawing>
            </w:r>
          </w:p>
        </w:tc>
      </w:tr>
    </w:tbl>
    <w:p w14:paraId="251D224A" w14:textId="77777777" w:rsidR="009A09D5" w:rsidRDefault="009A09D5" w:rsidP="00C86F96">
      <w:pPr>
        <w:pStyle w:val="ParagraphNumbering"/>
        <w:numPr>
          <w:ilvl w:val="0"/>
          <w:numId w:val="0"/>
        </w:numPr>
      </w:pPr>
    </w:p>
    <w:p w14:paraId="78899ACD" w14:textId="64B53783" w:rsidR="005F0112" w:rsidRDefault="005C7734" w:rsidP="00503024">
      <w:pPr>
        <w:pStyle w:val="ParagraphNumbering"/>
      </w:pPr>
      <w:r>
        <w:t xml:space="preserve"> </w:t>
      </w:r>
      <w:r w:rsidR="00C22D51">
        <w:t>Liability management operations (LMOs)</w:t>
      </w:r>
      <w:r w:rsidR="0009618A">
        <w:t>, whether buybacks or switches,</w:t>
      </w:r>
      <w:r w:rsidR="00C22D51">
        <w:t xml:space="preserve"> also have a potentially big part to pl</w:t>
      </w:r>
      <w:r w:rsidR="00437978">
        <w:t>a</w:t>
      </w:r>
      <w:r w:rsidR="00C22D51">
        <w:t>y in smoothing cash flows.</w:t>
      </w:r>
      <w:r w:rsidR="00437978">
        <w:t xml:space="preserve">  LMOs have a number of objectives, but smoothing the bond redemption profile, both within a year and across the years</w:t>
      </w:r>
      <w:r w:rsidR="0009618A">
        <w:t>,</w:t>
      </w:r>
      <w:r w:rsidR="00437978">
        <w:t xml:space="preserve"> is </w:t>
      </w:r>
      <w:r w:rsidR="0009618A">
        <w:t>among the most important.  LMOs that affect the redemption profile should be designed in such a way as to generate a monthly profile that acts to smooth the profile of the primary balance</w:t>
      </w:r>
      <w:r w:rsidR="00CA3C56">
        <w:t xml:space="preserve"> (potentially n future years, not only in the year or months immediately ahead)</w:t>
      </w:r>
      <w:r w:rsidR="0009618A">
        <w:t xml:space="preserve">, thereby also taking some pressure off the potential role of the T-bond issuance program to reduce changes in the TSA across the year. </w:t>
      </w:r>
    </w:p>
    <w:p w14:paraId="4F1C27C3" w14:textId="032EFAD4" w:rsidR="00B13ADF" w:rsidRDefault="00B13ADF" w:rsidP="00C30864">
      <w:pPr>
        <w:pStyle w:val="ParagraphNumbering"/>
      </w:pPr>
      <w:r>
        <w:t>The</w:t>
      </w:r>
      <w:r w:rsidR="0009618A">
        <w:t xml:space="preserve"> T-bond issuance program and LMOs are currently the main tools for smoothing cash flows.  Their role</w:t>
      </w:r>
      <w:r>
        <w:t xml:space="preserve"> will need to be considered in the further work on the debt management strategy and annual borrowing plan (ABP).</w:t>
      </w:r>
      <w:r w:rsidR="0009618A">
        <w:rPr>
          <w:rStyle w:val="FootnoteReference"/>
        </w:rPr>
        <w:footnoteReference w:id="12"/>
      </w:r>
      <w:r>
        <w:t xml:space="preserve">  </w:t>
      </w:r>
      <w:r w:rsidR="00CA3C56">
        <w:t xml:space="preserve">A reference to them has been included accordingly in the Appendix to Annex B above.  </w:t>
      </w:r>
      <w:r>
        <w:t>But a move to active cash management</w:t>
      </w:r>
      <w:r w:rsidR="00BE4D62">
        <w:t>, making use of short-term borrowing and lending</w:t>
      </w:r>
      <w:r>
        <w:t xml:space="preserve"> </w:t>
      </w:r>
      <w:r w:rsidR="00BE4D62">
        <w:t xml:space="preserve">instruments, </w:t>
      </w:r>
      <w:r>
        <w:t xml:space="preserve">clearly needs also more discussion with the CBA than there has been to date.  It is also suggested that there is a round of informal discussion with the banks.  The potential benefits of more active cash management will need to be explained to them and their views should be explored on the possibility of more frequent issuance of short-term T-bills and on capacity or other considerations.  It is suggested that there is a round of such discussion before any decisions made on the active cash management </w:t>
      </w:r>
      <w:r w:rsidR="00317B5C">
        <w:t>framework</w:t>
      </w:r>
      <w:r>
        <w:t xml:space="preserve"> and the period over </w:t>
      </w:r>
      <w:r w:rsidR="00C22D51">
        <w:t>which</w:t>
      </w:r>
      <w:r>
        <w:t xml:space="preserve"> it might </w:t>
      </w:r>
      <w:r w:rsidR="00317B5C">
        <w:t>develop</w:t>
      </w:r>
      <w:r>
        <w:t>.</w:t>
      </w:r>
      <w:r w:rsidR="009A018D" w:rsidRPr="009A018D">
        <w:t xml:space="preserve"> </w:t>
      </w:r>
      <w:r w:rsidR="009A018D">
        <w:t xml:space="preserve"> The framework includes </w:t>
      </w:r>
      <w:r w:rsidR="009A018D">
        <w:lastRenderedPageBreak/>
        <w:t xml:space="preserve">both how T-bills will be used and the role of deposits in the banking sector.  In relation to the latter, there are options for the techniques to be used, ideally reverse repo although collateralized deposits are also possible.  In the longer-term repo will have a role as a borrowing instrument, but some countries have found it useful to start to use repo for lending before they do so for borrowing. </w:t>
      </w:r>
    </w:p>
    <w:p w14:paraId="65F9408F" w14:textId="3A926340" w:rsidR="00C22D51" w:rsidRDefault="00C22D51" w:rsidP="00856782">
      <w:pPr>
        <w:pStyle w:val="ParagraphNumbering"/>
      </w:pPr>
      <w:r>
        <w:t xml:space="preserve">It was originally proposed that the PDMD should draft an action plan by the end of 2018.  In the light of these further discussions, that is unrealistic, at least if </w:t>
      </w:r>
      <w:proofErr w:type="gramStart"/>
      <w:r>
        <w:t>the ;plan</w:t>
      </w:r>
      <w:proofErr w:type="gramEnd"/>
      <w:r>
        <w:t xml:space="preserve"> is to be well grounded.  It is recommended instead that the plan should be prepared</w:t>
      </w:r>
      <w:r w:rsidR="00577D79">
        <w:t xml:space="preserve"> (as an internal document)</w:t>
      </w:r>
      <w:r>
        <w:t xml:space="preserve"> by end Q2 2019, which would allow for a round of discussion with the CBA and the market.  </w:t>
      </w:r>
      <w:r w:rsidR="00577D79">
        <w:t>There would be further discussion before final endorsement of the Minister with a view to the publication of a Consultative Document at the end of Q1 2020.</w:t>
      </w:r>
    </w:p>
    <w:p w14:paraId="53B539A5" w14:textId="47AB5F89" w:rsidR="00C22D51" w:rsidRDefault="00C22D51" w:rsidP="00856782">
      <w:pPr>
        <w:pStyle w:val="ParagraphNumbering"/>
      </w:pPr>
      <w:r>
        <w:t xml:space="preserve">The content of the action plan is to be decided.  But an outline has been included above as an </w:t>
      </w:r>
      <w:r w:rsidR="00CA3C56">
        <w:t>A</w:t>
      </w:r>
      <w:r>
        <w:t xml:space="preserve">ppendix to Annex B; it is highly schematic and the PDMD will want to put more flesh on it.  The timetable suggests that there could be more </w:t>
      </w:r>
      <w:r w:rsidR="00577D79">
        <w:t>a</w:t>
      </w:r>
      <w:r>
        <w:t>ctive T-bill issuance in early 202</w:t>
      </w:r>
      <w:r w:rsidR="00577D79">
        <w:t>1</w:t>
      </w:r>
      <w:r>
        <w:t xml:space="preserve">; but again that will depend on future consideration.  The </w:t>
      </w:r>
      <w:r w:rsidR="00577D79">
        <w:t>emphasis</w:t>
      </w:r>
      <w:r>
        <w:t xml:space="preserve"> here is on the need to undertake that consideration.   </w:t>
      </w:r>
    </w:p>
    <w:p w14:paraId="79974E8F" w14:textId="0E4FCBC7" w:rsidR="00856782" w:rsidRDefault="000C5BD2" w:rsidP="002935C5">
      <w:pPr>
        <w:pStyle w:val="ParagraphNumbering"/>
      </w:pPr>
      <w:r>
        <w:t xml:space="preserve">A cash coordination committee (CCC) is essential to support active cash management.  But it is suggested that it be formed before cash is actively managed in the sense outlined here.  That will help to bring more focus on the cash forecast and its use as a decision support tool.  It is therefore recommended that the CCC be formally established also in the middle of 2019.  The data presented to the CCC should be aggregated and summarized by the Secretariat before the meetings, ideally </w:t>
      </w:r>
      <w:r w:rsidR="00F25F03">
        <w:t>also</w:t>
      </w:r>
      <w:r>
        <w:t xml:space="preserve"> with </w:t>
      </w:r>
      <w:r w:rsidR="00F25F03">
        <w:t>recommendations</w:t>
      </w:r>
      <w:r>
        <w:rPr>
          <w:rStyle w:val="FootnoteReference"/>
        </w:rPr>
        <w:footnoteReference w:id="13"/>
      </w:r>
      <w:r w:rsidR="00F25F03">
        <w:t xml:space="preserve"> </w:t>
      </w:r>
      <w:r>
        <w:t>so</w:t>
      </w:r>
      <w:r w:rsidR="00F25F03">
        <w:t xml:space="preserve"> that</w:t>
      </w:r>
      <w:r>
        <w:t xml:space="preserve"> </w:t>
      </w:r>
      <w:r w:rsidR="00F25F03">
        <w:t xml:space="preserve">senior management </w:t>
      </w:r>
      <w:r>
        <w:t xml:space="preserve">can focus on the </w:t>
      </w:r>
      <w:r w:rsidR="00F25F03">
        <w:t>main messages and decisions</w:t>
      </w:r>
      <w:r>
        <w:t xml:space="preserve"> to be</w:t>
      </w:r>
      <w:r w:rsidR="00F25F03">
        <w:t xml:space="preserve"> made.</w:t>
      </w:r>
    </w:p>
    <w:p w14:paraId="26493E2D" w14:textId="62E3169E" w:rsidR="00F25F03" w:rsidRDefault="00F25F03">
      <w:pPr>
        <w:rPr>
          <w:rFonts w:eastAsia="SimSun" w:cs="Times New Roman"/>
          <w:szCs w:val="24"/>
          <w:lang w:eastAsia="en-US"/>
        </w:rPr>
      </w:pPr>
      <w:r>
        <w:br w:type="page"/>
      </w:r>
    </w:p>
    <w:sectPr w:rsidR="00F25F03" w:rsidSect="00F9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912E" w14:textId="77777777" w:rsidR="00CA709B" w:rsidRDefault="00CA709B" w:rsidP="004861B4">
      <w:r>
        <w:separator/>
      </w:r>
    </w:p>
  </w:endnote>
  <w:endnote w:type="continuationSeparator" w:id="0">
    <w:p w14:paraId="5FEF2907" w14:textId="77777777" w:rsidR="00CA709B" w:rsidRDefault="00CA709B" w:rsidP="004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FD68" w14:textId="77777777" w:rsidR="00452DB1" w:rsidRDefault="00452DB1" w:rsidP="004C0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61712" w14:textId="77777777" w:rsidR="00452DB1" w:rsidRDefault="00452DB1" w:rsidP="004C0C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50C2" w14:textId="77777777" w:rsidR="00452DB1" w:rsidRDefault="00452DB1" w:rsidP="004C0C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637D" w14:textId="77777777" w:rsidR="00CA709B" w:rsidRDefault="00CA709B" w:rsidP="004861B4">
      <w:r>
        <w:separator/>
      </w:r>
    </w:p>
  </w:footnote>
  <w:footnote w:type="continuationSeparator" w:id="0">
    <w:p w14:paraId="4A9D3567" w14:textId="77777777" w:rsidR="00CA709B" w:rsidRDefault="00CA709B" w:rsidP="004861B4">
      <w:r>
        <w:continuationSeparator/>
      </w:r>
    </w:p>
  </w:footnote>
  <w:footnote w:id="1">
    <w:p w14:paraId="24D72128" w14:textId="087E8B17" w:rsidR="00452DB1" w:rsidRPr="00FD0295" w:rsidRDefault="00452DB1">
      <w:pPr>
        <w:pStyle w:val="FootnoteText"/>
      </w:pPr>
      <w:r>
        <w:rPr>
          <w:rStyle w:val="FootnoteReference"/>
        </w:rPr>
        <w:footnoteRef/>
      </w:r>
      <w:r>
        <w:t xml:space="preserve"> “Armenia: Liquidity Management: Interim Report” July 30, 2018.</w:t>
      </w:r>
    </w:p>
  </w:footnote>
  <w:footnote w:id="2">
    <w:p w14:paraId="52E040F3" w14:textId="3D336C70" w:rsidR="00452DB1" w:rsidRPr="00E80090" w:rsidRDefault="00452DB1">
      <w:pPr>
        <w:pStyle w:val="FootnoteText"/>
      </w:pPr>
      <w:r>
        <w:rPr>
          <w:rStyle w:val="FootnoteReference"/>
        </w:rPr>
        <w:footnoteRef/>
      </w:r>
      <w:r>
        <w:t xml:space="preserve"> In both cases there has been some loss of formatting; the presentations are available separately if required.</w:t>
      </w:r>
    </w:p>
  </w:footnote>
  <w:footnote w:id="3">
    <w:p w14:paraId="4792938B" w14:textId="5A97CBBF" w:rsidR="00452DB1" w:rsidRPr="008400C6" w:rsidRDefault="00452DB1">
      <w:pPr>
        <w:pStyle w:val="FootnoteText"/>
        <w:rPr>
          <w:lang w:val="en-GB"/>
        </w:rPr>
      </w:pPr>
      <w:r>
        <w:rPr>
          <w:rStyle w:val="FootnoteReference"/>
        </w:rPr>
        <w:footnoteRef/>
      </w:r>
      <w:r>
        <w:t xml:space="preserve"> </w:t>
      </w:r>
      <w:r>
        <w:rPr>
          <w:lang w:val="en-GB"/>
        </w:rPr>
        <w:t>The requirement for the approved State Budget to balance (after financing) is reflected in regulations made under the Budget Systems Law, not in the primary legislation itself.</w:t>
      </w:r>
    </w:p>
  </w:footnote>
  <w:footnote w:id="4">
    <w:p w14:paraId="3EBB990B" w14:textId="00B39BE9" w:rsidR="00452DB1" w:rsidRPr="00431941" w:rsidRDefault="00452DB1">
      <w:pPr>
        <w:pStyle w:val="FootnoteText"/>
        <w:rPr>
          <w:lang w:val="en-GB"/>
        </w:rPr>
      </w:pPr>
      <w:r>
        <w:rPr>
          <w:rStyle w:val="FootnoteReference"/>
        </w:rPr>
        <w:footnoteRef/>
      </w:r>
      <w:r>
        <w:t xml:space="preserve"> </w:t>
      </w:r>
      <w:r>
        <w:rPr>
          <w:lang w:val="en-GB"/>
        </w:rPr>
        <w:t xml:space="preserve">There seems to be a presumption that drawdown form the stabilisation fund is the marginal source of finance.  In principle, strong revenue performance could be reflected in lower T-bond issuance, which would undoubtedly be more cost-effective given that the marginal cash deposit earns only a money market rate at the CBA (the published issuance plan would have to be adjusted, but that would not be a problem with due notice). </w:t>
      </w:r>
    </w:p>
  </w:footnote>
  <w:footnote w:id="5">
    <w:p w14:paraId="300A774B" w14:textId="35D33307" w:rsidR="00452DB1" w:rsidRPr="00452DB1" w:rsidRDefault="00452DB1">
      <w:pPr>
        <w:pStyle w:val="FootnoteText"/>
      </w:pPr>
      <w:r>
        <w:rPr>
          <w:rStyle w:val="FootnoteReference"/>
        </w:rPr>
        <w:footnoteRef/>
      </w:r>
      <w:r>
        <w:t xml:space="preserve"> Arguably a fiscal stabilization fund or other structural fund of that kind should be managed separately from the government’s </w:t>
      </w:r>
      <w:r w:rsidR="00567064">
        <w:t>other short-term</w:t>
      </w:r>
      <w:r>
        <w:t xml:space="preserve"> financial assets, with its own objectives and governance framework.</w:t>
      </w:r>
    </w:p>
  </w:footnote>
  <w:footnote w:id="6">
    <w:p w14:paraId="5A85D10E" w14:textId="62BACC23" w:rsidR="00452DB1" w:rsidRPr="0095610E" w:rsidRDefault="00452DB1">
      <w:pPr>
        <w:pStyle w:val="FootnoteText"/>
        <w:rPr>
          <w:lang w:val="en-GB"/>
        </w:rPr>
      </w:pPr>
      <w:r>
        <w:rPr>
          <w:rStyle w:val="FootnoteReference"/>
        </w:rPr>
        <w:footnoteRef/>
      </w:r>
      <w:r>
        <w:t xml:space="preserve"> </w:t>
      </w:r>
      <w:r>
        <w:rPr>
          <w:lang w:val="en-GB"/>
        </w:rPr>
        <w:t>This recommendation is dropped in the light of further discussion; the substance will in any event be subsumed within the recommended work with the SRC.</w:t>
      </w:r>
    </w:p>
  </w:footnote>
  <w:footnote w:id="7">
    <w:p w14:paraId="3BCD6CD1" w14:textId="77777777" w:rsidR="003965B7" w:rsidRPr="00550844" w:rsidRDefault="003965B7" w:rsidP="003965B7">
      <w:pPr>
        <w:pStyle w:val="FootnoteText"/>
      </w:pPr>
      <w:r>
        <w:rPr>
          <w:rStyle w:val="FootnoteReference"/>
        </w:rPr>
        <w:footnoteRef/>
      </w:r>
      <w:r>
        <w:t xml:space="preserve"> The PDMD noted that there already exists a decree on information exchange, but it tends to be ignored by the relevant agencies.</w:t>
      </w:r>
    </w:p>
  </w:footnote>
  <w:footnote w:id="8">
    <w:p w14:paraId="078976D0" w14:textId="6ABA7BCE" w:rsidR="00452DB1" w:rsidRPr="008C4007" w:rsidRDefault="00452DB1">
      <w:pPr>
        <w:pStyle w:val="FootnoteText"/>
        <w:rPr>
          <w:lang w:val="en-GB"/>
        </w:rPr>
      </w:pPr>
      <w:r>
        <w:rPr>
          <w:rStyle w:val="FootnoteReference"/>
        </w:rPr>
        <w:footnoteRef/>
      </w:r>
      <w:r>
        <w:t xml:space="preserve"> </w:t>
      </w:r>
      <w:r>
        <w:rPr>
          <w:lang w:val="en-GB"/>
        </w:rPr>
        <w:t>Some caution is needed because, as emphasised in the interim report, there is a risk that information exchanged between spending units and those in the MoF responsible for budget execution is biased by game playing in relation to future budget approvals.</w:t>
      </w:r>
    </w:p>
  </w:footnote>
  <w:footnote w:id="9">
    <w:p w14:paraId="6B34FFB7" w14:textId="7BE581AB" w:rsidR="00452DB1" w:rsidRPr="005F0112" w:rsidRDefault="00452DB1">
      <w:pPr>
        <w:pStyle w:val="FootnoteText"/>
        <w:rPr>
          <w:lang w:val="en-GB"/>
        </w:rPr>
      </w:pPr>
      <w:r>
        <w:rPr>
          <w:rStyle w:val="FootnoteReference"/>
        </w:rPr>
        <w:footnoteRef/>
      </w:r>
      <w:r>
        <w:t xml:space="preserve"> </w:t>
      </w:r>
      <w:r>
        <w:rPr>
          <w:lang w:val="en-GB"/>
        </w:rPr>
        <w:t>An increase in the stock would have an impact on the average term to maturity of the debt stock, but it need be only modest.  Much more frequent issuance of short-term T-bills would have no impact on the average term when it is measured across the years.</w:t>
      </w:r>
    </w:p>
  </w:footnote>
  <w:footnote w:id="10">
    <w:p w14:paraId="28744D5A" w14:textId="4D887BEB" w:rsidR="00452DB1" w:rsidRPr="005F0112" w:rsidRDefault="00452DB1">
      <w:pPr>
        <w:pStyle w:val="FootnoteText"/>
        <w:rPr>
          <w:lang w:val="en-GB"/>
        </w:rPr>
      </w:pPr>
      <w:r>
        <w:rPr>
          <w:rStyle w:val="FootnoteReference"/>
        </w:rPr>
        <w:footnoteRef/>
      </w:r>
      <w:r>
        <w:t xml:space="preserve"> </w:t>
      </w:r>
      <w:r>
        <w:rPr>
          <w:lang w:val="en-GB"/>
        </w:rPr>
        <w:t>The CBA has reportedly argued in favour of increasing the stock of T-bills somewhat.</w:t>
      </w:r>
    </w:p>
  </w:footnote>
  <w:footnote w:id="11">
    <w:p w14:paraId="049E0F82" w14:textId="07E764FE" w:rsidR="00452DB1" w:rsidRPr="00766F4B" w:rsidRDefault="00452DB1">
      <w:pPr>
        <w:pStyle w:val="FootnoteText"/>
      </w:pPr>
      <w:r>
        <w:rPr>
          <w:rStyle w:val="FootnoteReference"/>
        </w:rPr>
        <w:footnoteRef/>
      </w:r>
      <w:r>
        <w:t xml:space="preserve"> Before that, it would be possible for the MoF to issue in, say, 2019 and 2020, short-term T-bills with odd maturities linked to cash inflow dates, as it has done in the past.  The procedures are in place and the market should understand the concept.  More use of this facility would be a useful lead in to more frequent and variable issuance of T-bills.</w:t>
      </w:r>
    </w:p>
  </w:footnote>
  <w:footnote w:id="12">
    <w:p w14:paraId="1B0CA0E2" w14:textId="462B92AE" w:rsidR="0009618A" w:rsidRPr="0009618A" w:rsidRDefault="0009618A">
      <w:pPr>
        <w:pStyle w:val="FootnoteText"/>
      </w:pPr>
      <w:r>
        <w:rPr>
          <w:rStyle w:val="FootnoteReference"/>
        </w:rPr>
        <w:footnoteRef/>
      </w:r>
      <w:r>
        <w:t xml:space="preserve"> LMO</w:t>
      </w:r>
      <w:r w:rsidR="00BE4D62">
        <w:t xml:space="preserve"> policies, objectives and techniques are being addressed in the parallel workstream of Arindam Roy.</w:t>
      </w:r>
    </w:p>
  </w:footnote>
  <w:footnote w:id="13">
    <w:p w14:paraId="2782B92E" w14:textId="7FDE10FA" w:rsidR="00452DB1" w:rsidRPr="000C5BD2" w:rsidRDefault="00452DB1">
      <w:pPr>
        <w:pStyle w:val="FootnoteText"/>
        <w:rPr>
          <w:lang w:val="en-GB"/>
        </w:rPr>
      </w:pPr>
      <w:r>
        <w:rPr>
          <w:rStyle w:val="FootnoteReference"/>
        </w:rPr>
        <w:footnoteRef/>
      </w:r>
      <w:r>
        <w:t xml:space="preserve"> </w:t>
      </w:r>
      <w:r>
        <w:rPr>
          <w:lang w:val="en-GB"/>
        </w:rPr>
        <w:t>In the course of the workshop, the consultant presented two slides (close to the end of the presentation at Annex D) with a possible format for making recommendation to the CCC.  The format includes the forecast projections, it identifies possible scenarios, sensitivities or contingencies, and makes recommendations for action.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88D8" w14:textId="77777777" w:rsidR="00452DB1" w:rsidRDefault="00F20779">
    <w:pPr>
      <w:pStyle w:val="Header"/>
    </w:pPr>
    <w:sdt>
      <w:sdtPr>
        <w:id w:val="746378512"/>
        <w:placeholder>
          <w:docPart w:val="CD5EE26D1EBACC44B95F32A7D2CFD290"/>
        </w:placeholder>
        <w:temporary/>
        <w:showingPlcHdr/>
      </w:sdtPr>
      <w:sdtEndPr/>
      <w:sdtContent>
        <w:r w:rsidR="00452DB1">
          <w:t>[Type text]</w:t>
        </w:r>
      </w:sdtContent>
    </w:sdt>
    <w:r w:rsidR="00452DB1">
      <w:ptab w:relativeTo="margin" w:alignment="center" w:leader="none"/>
    </w:r>
    <w:sdt>
      <w:sdtPr>
        <w:id w:val="1019895488"/>
        <w:placeholder>
          <w:docPart w:val="A38F1BD93F30A24B9099E78FBDD6E6E6"/>
        </w:placeholder>
        <w:temporary/>
        <w:showingPlcHdr/>
      </w:sdtPr>
      <w:sdtEndPr/>
      <w:sdtContent>
        <w:r w:rsidR="00452DB1">
          <w:t>[Type text]</w:t>
        </w:r>
      </w:sdtContent>
    </w:sdt>
    <w:r w:rsidR="00452DB1">
      <w:ptab w:relativeTo="margin" w:alignment="right" w:leader="none"/>
    </w:r>
    <w:sdt>
      <w:sdtPr>
        <w:id w:val="1342439667"/>
        <w:placeholder>
          <w:docPart w:val="9ABCFA5F3895C240990767A0E816E62C"/>
        </w:placeholder>
        <w:temporary/>
        <w:showingPlcHdr/>
      </w:sdtPr>
      <w:sdtEndPr/>
      <w:sdtContent>
        <w:r w:rsidR="00452DB1">
          <w:t>[Type text]</w:t>
        </w:r>
      </w:sdtContent>
    </w:sdt>
  </w:p>
  <w:p w14:paraId="4FF005E0" w14:textId="77777777" w:rsidR="00452DB1" w:rsidRDefault="00452D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350"/>
    </w:tblGrid>
    <w:sdt>
      <w:sdtPr>
        <w:rPr>
          <w:color w:val="7F7F7F" w:themeColor="background1" w:themeShade="7F"/>
          <w:spacing w:val="60"/>
        </w:rPr>
        <w:id w:val="-319804995"/>
        <w:docPartObj>
          <w:docPartGallery w:val="Page Numbers (Top of Page)"/>
          <w:docPartUnique/>
        </w:docPartObj>
      </w:sdtPr>
      <w:sdtEndPr>
        <w:rPr>
          <w:b/>
          <w:bCs/>
          <w:noProof/>
          <w:color w:val="auto"/>
          <w:spacing w:val="0"/>
        </w:rPr>
      </w:sdtEndPr>
      <w:sdtContent>
        <w:tr w:rsidR="00452DB1" w:rsidRPr="002475F3" w14:paraId="0BE951B9" w14:textId="77777777" w:rsidTr="0082080F">
          <w:tc>
            <w:tcPr>
              <w:tcW w:w="8028" w:type="dxa"/>
            </w:tcPr>
            <w:sdt>
              <w:sdtPr>
                <w:rPr>
                  <w:color w:val="7F7F7F" w:themeColor="background1" w:themeShade="7F"/>
                  <w:spacing w:val="60"/>
                </w:rPr>
                <w:id w:val="-541291247"/>
                <w:docPartObj>
                  <w:docPartGallery w:val="Page Numbers (Top of Page)"/>
                  <w:docPartUnique/>
                </w:docPartObj>
              </w:sdtPr>
              <w:sdtEndPr>
                <w:rPr>
                  <w:b/>
                  <w:bCs/>
                  <w:noProof/>
                  <w:color w:val="auto"/>
                  <w:spacing w:val="0"/>
                </w:rPr>
              </w:sdtEndPr>
              <w:sdtContent>
                <w:p w14:paraId="185368B0" w14:textId="2A245763" w:rsidR="00452DB1" w:rsidRPr="001C41EB" w:rsidRDefault="00452DB1" w:rsidP="001C41EB">
                  <w:pPr>
                    <w:pStyle w:val="Header"/>
                    <w:tabs>
                      <w:tab w:val="left" w:pos="0"/>
                    </w:tabs>
                    <w:rPr>
                      <w:b/>
                      <w:bCs/>
                      <w:noProof/>
                    </w:rPr>
                  </w:pPr>
                  <w:r>
                    <w:rPr>
                      <w:rFonts w:cs="Arial"/>
                      <w:b/>
                      <w:sz w:val="18"/>
                      <w:szCs w:val="18"/>
                    </w:rPr>
                    <w:t>Final Report – SC 111018 ARM</w:t>
                  </w:r>
                  <w:r w:rsidRPr="00BB7E11">
                    <w:rPr>
                      <w:rFonts w:cs="Arial"/>
                      <w:b/>
                      <w:sz w:val="18"/>
                      <w:szCs w:val="18"/>
                    </w:rPr>
                    <w:t xml:space="preserve">: </w:t>
                  </w:r>
                  <w:r>
                    <w:rPr>
                      <w:rFonts w:cs="Arial"/>
                      <w:b/>
                      <w:sz w:val="18"/>
                      <w:szCs w:val="18"/>
                    </w:rPr>
                    <w:t>Liquidity Management</w:t>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350" w:type="dxa"/>
            </w:tcPr>
            <w:p w14:paraId="52E3E587" w14:textId="45044C7E" w:rsidR="00452DB1" w:rsidRPr="002475F3" w:rsidRDefault="00452DB1" w:rsidP="004E0425">
              <w:pPr>
                <w:pStyle w:val="Header"/>
                <w:tabs>
                  <w:tab w:val="clear" w:pos="4320"/>
                  <w:tab w:val="clear" w:pos="8640"/>
                </w:tabs>
                <w:jc w:val="both"/>
                <w:rPr>
                  <w:b/>
                  <w:bCs/>
                </w:rPr>
              </w:pPr>
              <w:r w:rsidRPr="002475F3">
                <w:rPr>
                  <w:color w:val="7F7F7F" w:themeColor="background1" w:themeShade="7F"/>
                  <w:spacing w:val="60"/>
                </w:rPr>
                <w:t>Page</w:t>
              </w:r>
              <w:r w:rsidRPr="002475F3">
                <w:fldChar w:fldCharType="begin"/>
              </w:r>
              <w:r w:rsidRPr="002475F3">
                <w:instrText xml:space="preserve"> PAGE   \* MERGEFORMAT </w:instrText>
              </w:r>
              <w:r w:rsidRPr="002475F3">
                <w:fldChar w:fldCharType="separate"/>
              </w:r>
              <w:r w:rsidR="00F20779" w:rsidRPr="00F20779">
                <w:rPr>
                  <w:b/>
                  <w:bCs/>
                  <w:noProof/>
                </w:rPr>
                <w:t>15</w:t>
              </w:r>
              <w:r w:rsidRPr="002475F3">
                <w:rPr>
                  <w:b/>
                  <w:bCs/>
                  <w:noProof/>
                </w:rPr>
                <w:fldChar w:fldCharType="end"/>
              </w:r>
            </w:p>
          </w:tc>
        </w:tr>
      </w:sdtContent>
    </w:sdt>
  </w:tbl>
  <w:p w14:paraId="7EC98C6D" w14:textId="40D07E32" w:rsidR="00452DB1" w:rsidRPr="008E1ACA" w:rsidRDefault="00452DB1" w:rsidP="00BD2588">
    <w:pPr>
      <w:pStyle w:val="Header"/>
      <w:tabs>
        <w:tab w:val="clear" w:pos="4320"/>
        <w:tab w:val="clear" w:pos="8640"/>
        <w:tab w:val="left" w:pos="0"/>
        <w:tab w:val="left" w:pos="8135"/>
      </w:tabs>
      <w:rPr>
        <w:b/>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sdt>
      <w:sdtPr>
        <w:rPr>
          <w:color w:val="7F7F7F" w:themeColor="background1" w:themeShade="7F"/>
          <w:spacing w:val="60"/>
        </w:rPr>
        <w:id w:val="1843963411"/>
        <w:docPartObj>
          <w:docPartGallery w:val="Page Numbers (Top of Page)"/>
          <w:docPartUnique/>
        </w:docPartObj>
      </w:sdtPr>
      <w:sdtEndPr>
        <w:rPr>
          <w:b/>
          <w:bCs/>
          <w:noProof/>
          <w:color w:val="auto"/>
          <w:spacing w:val="0"/>
        </w:rPr>
      </w:sdtEndPr>
      <w:sdtContent>
        <w:tr w:rsidR="00452DB1" w:rsidRPr="002475F3" w14:paraId="5259FB58" w14:textId="77777777" w:rsidTr="001C41EB">
          <w:trPr>
            <w:trHeight w:val="180"/>
          </w:trPr>
          <w:tc>
            <w:tcPr>
              <w:tcW w:w="8208" w:type="dxa"/>
            </w:tcPr>
            <w:sdt>
              <w:sdtPr>
                <w:rPr>
                  <w:color w:val="7F7F7F" w:themeColor="background1" w:themeShade="7F"/>
                  <w:spacing w:val="60"/>
                </w:rPr>
                <w:id w:val="2049102196"/>
                <w:docPartObj>
                  <w:docPartGallery w:val="Page Numbers (Top of Page)"/>
                  <w:docPartUnique/>
                </w:docPartObj>
              </w:sdtPr>
              <w:sdtEndPr>
                <w:rPr>
                  <w:b/>
                  <w:bCs/>
                  <w:noProof/>
                  <w:color w:val="auto"/>
                  <w:spacing w:val="0"/>
                </w:rPr>
              </w:sdtEndPr>
              <w:sdtContent>
                <w:p w14:paraId="64A583B3" w14:textId="585E2FD0" w:rsidR="00452DB1" w:rsidRPr="00931EDE" w:rsidRDefault="00452DB1" w:rsidP="00745A5E">
                  <w:pPr>
                    <w:pStyle w:val="Header"/>
                    <w:tabs>
                      <w:tab w:val="left" w:pos="0"/>
                    </w:tabs>
                    <w:rPr>
                      <w:rFonts w:cs="Arial"/>
                      <w:b/>
                      <w:sz w:val="18"/>
                      <w:szCs w:val="18"/>
                    </w:rPr>
                  </w:pPr>
                  <w:r>
                    <w:rPr>
                      <w:rFonts w:cs="Arial"/>
                      <w:b/>
                      <w:sz w:val="18"/>
                      <w:szCs w:val="18"/>
                    </w:rPr>
                    <w:t>Interim Report – SC 111018 ARM</w:t>
                  </w:r>
                  <w:r w:rsidRPr="00BB7E11">
                    <w:rPr>
                      <w:rFonts w:cs="Arial"/>
                      <w:b/>
                      <w:sz w:val="18"/>
                      <w:szCs w:val="18"/>
                    </w:rPr>
                    <w:t xml:space="preserve">: </w:t>
                  </w:r>
                  <w:r>
                    <w:rPr>
                      <w:rFonts w:cs="Arial"/>
                      <w:b/>
                      <w:sz w:val="18"/>
                      <w:szCs w:val="18"/>
                    </w:rPr>
                    <w:t xml:space="preserve">Liquidity Management </w:t>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171" w:type="dxa"/>
            </w:tcPr>
            <w:p w14:paraId="3CBA4E48" w14:textId="5C47ACBC" w:rsidR="00452DB1" w:rsidRPr="002475F3" w:rsidRDefault="00452DB1" w:rsidP="004A7E4E">
              <w:pPr>
                <w:pStyle w:val="Header"/>
                <w:tabs>
                  <w:tab w:val="clear" w:pos="4320"/>
                  <w:tab w:val="clear" w:pos="8640"/>
                </w:tabs>
                <w:jc w:val="both"/>
                <w:rPr>
                  <w:b/>
                  <w:bCs/>
                </w:rPr>
              </w:pPr>
              <w:r w:rsidRPr="002475F3">
                <w:rPr>
                  <w:color w:val="7F7F7F" w:themeColor="background1" w:themeShade="7F"/>
                  <w:spacing w:val="60"/>
                </w:rPr>
                <w:t>Page</w:t>
              </w:r>
              <w:r w:rsidRPr="002475F3">
                <w:t xml:space="preserve"> </w:t>
              </w:r>
              <w:r w:rsidRPr="002475F3">
                <w:rPr>
                  <w:b/>
                  <w:bCs/>
                  <w:noProof/>
                </w:rPr>
                <w:t>i</w:t>
              </w:r>
            </w:p>
          </w:tc>
        </w:tr>
      </w:sdtContent>
    </w:sdt>
  </w:tbl>
  <w:p w14:paraId="3A491A77" w14:textId="77777777" w:rsidR="00452DB1" w:rsidRDefault="00452DB1" w:rsidP="002475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087F2E"/>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BAF7CD0"/>
    <w:multiLevelType w:val="hybridMultilevel"/>
    <w:tmpl w:val="24FA12DC"/>
    <w:lvl w:ilvl="0" w:tplc="F06290EA">
      <w:start w:val="1"/>
      <w:numFmt w:val="bullet"/>
      <w:pStyle w:val="Bullet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54837"/>
    <w:multiLevelType w:val="hybridMultilevel"/>
    <w:tmpl w:val="80408904"/>
    <w:lvl w:ilvl="0" w:tplc="19845C6A">
      <w:start w:val="1"/>
      <w:numFmt w:val="bullet"/>
      <w:lvlText w:val="–"/>
      <w:lvlJc w:val="left"/>
      <w:pPr>
        <w:ind w:left="360" w:hanging="360"/>
      </w:pPr>
      <w:rPr>
        <w:rFonts w:ascii="Arial" w:hAnsi="Arial" w:cs="Arial" w:hint="default"/>
        <w:b/>
        <w:bCs/>
        <w:color w:val="auto"/>
        <w:sz w:val="24"/>
        <w:szCs w:val="24"/>
      </w:rPr>
    </w:lvl>
    <w:lvl w:ilvl="1" w:tplc="D8D01ECA">
      <w:start w:val="1"/>
      <w:numFmt w:val="bullet"/>
      <w:pStyle w:val="Bulletstab"/>
      <w:lvlText w:val=""/>
      <w:lvlJc w:val="left"/>
      <w:pPr>
        <w:ind w:left="1080" w:hanging="360"/>
      </w:pPr>
      <w:rPr>
        <w:rFonts w:ascii="Symbol" w:hAnsi="Symbol" w:cs="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15:restartNumberingAfterBreak="0">
    <w:nsid w:val="14105CA9"/>
    <w:multiLevelType w:val="hybridMultilevel"/>
    <w:tmpl w:val="4E9AC554"/>
    <w:lvl w:ilvl="0" w:tplc="CB146D40">
      <w:start w:val="1"/>
      <w:numFmt w:val="decimal"/>
      <w:pStyle w:val="ParagraphNumbering"/>
      <w:lvlText w:val="%1.     "/>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E6ABD"/>
    <w:multiLevelType w:val="hybridMultilevel"/>
    <w:tmpl w:val="3620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65050"/>
    <w:multiLevelType w:val="hybridMultilevel"/>
    <w:tmpl w:val="1F0A3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E11A3"/>
    <w:multiLevelType w:val="hybridMultilevel"/>
    <w:tmpl w:val="40C65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92FBE"/>
    <w:multiLevelType w:val="multilevel"/>
    <w:tmpl w:val="0AE2C1F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A79E6"/>
    <w:multiLevelType w:val="hybridMultilevel"/>
    <w:tmpl w:val="272AB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1DF2"/>
    <w:multiLevelType w:val="multilevel"/>
    <w:tmpl w:val="0BCAC0BA"/>
    <w:lvl w:ilvl="0">
      <w:start w:val="1"/>
      <w:numFmt w:val="decimal"/>
      <w:lvlText w:val="%1."/>
      <w:lvlJc w:val="left"/>
      <w:pPr>
        <w:ind w:left="360" w:hanging="360"/>
      </w:pPr>
      <w:rPr>
        <w:rFonts w:ascii="Arial" w:hAnsi="Arial" w:cs="Arial" w:hint="default"/>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D64BE5"/>
    <w:multiLevelType w:val="multilevel"/>
    <w:tmpl w:val="38489BD8"/>
    <w:lvl w:ilvl="0">
      <w:start w:val="1"/>
      <w:numFmt w:val="decimal"/>
      <w:pStyle w:val="List1"/>
      <w:lvlText w:val="%1."/>
      <w:lvlJc w:val="left"/>
      <w:pPr>
        <w:tabs>
          <w:tab w:val="num" w:pos="397"/>
        </w:tabs>
        <w:ind w:left="432" w:hanging="432"/>
      </w:pPr>
      <w:rPr>
        <w:rFonts w:cs="Times New Roman" w:hint="default"/>
        <w:color w:val="auto"/>
      </w:rPr>
    </w:lvl>
    <w:lvl w:ilvl="1">
      <w:start w:val="1"/>
      <w:numFmt w:val="lowerRoman"/>
      <w:pStyle w:val="List2"/>
      <w:lvlText w:val="%2."/>
      <w:lvlJc w:val="left"/>
      <w:pPr>
        <w:tabs>
          <w:tab w:val="num" w:pos="1008"/>
        </w:tabs>
        <w:ind w:left="1008" w:hanging="576"/>
      </w:pPr>
      <w:rPr>
        <w:rFonts w:cs="Times New Roman" w:hint="default"/>
        <w:color w:val="auto"/>
      </w:rPr>
    </w:lvl>
    <w:lvl w:ilvl="2">
      <w:start w:val="1"/>
      <w:numFmt w:val="lowerLetter"/>
      <w:pStyle w:val="List3"/>
      <w:lvlText w:val="%3."/>
      <w:lvlJc w:val="left"/>
      <w:pPr>
        <w:tabs>
          <w:tab w:val="num" w:pos="1440"/>
        </w:tabs>
        <w:ind w:left="1440" w:hanging="432"/>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EB78BD"/>
    <w:multiLevelType w:val="hybridMultilevel"/>
    <w:tmpl w:val="411E8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51294"/>
    <w:multiLevelType w:val="hybridMultilevel"/>
    <w:tmpl w:val="2D244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C1365"/>
    <w:multiLevelType w:val="hybridMultilevel"/>
    <w:tmpl w:val="812CD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C18CC"/>
    <w:multiLevelType w:val="hybridMultilevel"/>
    <w:tmpl w:val="C05C3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52A24"/>
    <w:multiLevelType w:val="hybridMultilevel"/>
    <w:tmpl w:val="B7326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7C50ED"/>
    <w:multiLevelType w:val="hybridMultilevel"/>
    <w:tmpl w:val="4AC86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C4C3D"/>
    <w:multiLevelType w:val="hybridMultilevel"/>
    <w:tmpl w:val="E66EAA9C"/>
    <w:lvl w:ilvl="0" w:tplc="B2FE37EE">
      <w:start w:val="1"/>
      <w:numFmt w:val="upperRoman"/>
      <w:pStyle w:val="Topic1"/>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3"/>
  </w:num>
  <w:num w:numId="6">
    <w:abstractNumId w:val="2"/>
  </w:num>
  <w:num w:numId="7">
    <w:abstractNumId w:val="0"/>
  </w:num>
  <w:num w:numId="8">
    <w:abstractNumId w:val="3"/>
    <w:lvlOverride w:ilvl="0">
      <w:startOverride w:val="1"/>
    </w:lvlOverride>
  </w:num>
  <w:num w:numId="9">
    <w:abstractNumId w:val="17"/>
  </w:num>
  <w:num w:numId="10">
    <w:abstractNumId w:val="11"/>
  </w:num>
  <w:num w:numId="11">
    <w:abstractNumId w:val="4"/>
  </w:num>
  <w:num w:numId="12">
    <w:abstractNumId w:val="5"/>
  </w:num>
  <w:num w:numId="13">
    <w:abstractNumId w:val="16"/>
  </w:num>
  <w:num w:numId="14">
    <w:abstractNumId w:val="6"/>
  </w:num>
  <w:num w:numId="15">
    <w:abstractNumId w:val="14"/>
  </w:num>
  <w:num w:numId="16">
    <w:abstractNumId w:val="8"/>
  </w:num>
  <w:num w:numId="17">
    <w:abstractNumId w:val="13"/>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19"/>
    <w:rsid w:val="00000A51"/>
    <w:rsid w:val="00001398"/>
    <w:rsid w:val="000018F3"/>
    <w:rsid w:val="00004B86"/>
    <w:rsid w:val="00004E11"/>
    <w:rsid w:val="0000653A"/>
    <w:rsid w:val="00006E8D"/>
    <w:rsid w:val="00010BA6"/>
    <w:rsid w:val="000141AE"/>
    <w:rsid w:val="00022F8F"/>
    <w:rsid w:val="00023019"/>
    <w:rsid w:val="0002333D"/>
    <w:rsid w:val="00032D54"/>
    <w:rsid w:val="00035758"/>
    <w:rsid w:val="000400C0"/>
    <w:rsid w:val="000405F6"/>
    <w:rsid w:val="000424D7"/>
    <w:rsid w:val="00044BC1"/>
    <w:rsid w:val="00045727"/>
    <w:rsid w:val="000470CC"/>
    <w:rsid w:val="0004773A"/>
    <w:rsid w:val="00047E40"/>
    <w:rsid w:val="00054859"/>
    <w:rsid w:val="000621C7"/>
    <w:rsid w:val="0006351B"/>
    <w:rsid w:val="000730D1"/>
    <w:rsid w:val="00073667"/>
    <w:rsid w:val="00077055"/>
    <w:rsid w:val="00080F4E"/>
    <w:rsid w:val="00086991"/>
    <w:rsid w:val="00091F48"/>
    <w:rsid w:val="0009612E"/>
    <w:rsid w:val="0009618A"/>
    <w:rsid w:val="00096F56"/>
    <w:rsid w:val="000A3B0C"/>
    <w:rsid w:val="000A4DB0"/>
    <w:rsid w:val="000A4E7B"/>
    <w:rsid w:val="000A630C"/>
    <w:rsid w:val="000A7247"/>
    <w:rsid w:val="000B0B75"/>
    <w:rsid w:val="000B23BF"/>
    <w:rsid w:val="000B2ACA"/>
    <w:rsid w:val="000B45A3"/>
    <w:rsid w:val="000B6612"/>
    <w:rsid w:val="000B78D7"/>
    <w:rsid w:val="000C0862"/>
    <w:rsid w:val="000C0973"/>
    <w:rsid w:val="000C0B02"/>
    <w:rsid w:val="000C2DFA"/>
    <w:rsid w:val="000C56D5"/>
    <w:rsid w:val="000C5BD2"/>
    <w:rsid w:val="000C6B03"/>
    <w:rsid w:val="000C7A31"/>
    <w:rsid w:val="000C7AC0"/>
    <w:rsid w:val="000D2DF0"/>
    <w:rsid w:val="000D31FF"/>
    <w:rsid w:val="000D5C6C"/>
    <w:rsid w:val="000D6155"/>
    <w:rsid w:val="000E3DB7"/>
    <w:rsid w:val="000E4C08"/>
    <w:rsid w:val="00100A82"/>
    <w:rsid w:val="0011207F"/>
    <w:rsid w:val="00116816"/>
    <w:rsid w:val="00117050"/>
    <w:rsid w:val="00117747"/>
    <w:rsid w:val="00117DF3"/>
    <w:rsid w:val="00123721"/>
    <w:rsid w:val="00123D8A"/>
    <w:rsid w:val="00125C74"/>
    <w:rsid w:val="00125EBA"/>
    <w:rsid w:val="00134C96"/>
    <w:rsid w:val="0013791C"/>
    <w:rsid w:val="001414AF"/>
    <w:rsid w:val="001426FA"/>
    <w:rsid w:val="00142DDF"/>
    <w:rsid w:val="00143746"/>
    <w:rsid w:val="00145832"/>
    <w:rsid w:val="00147507"/>
    <w:rsid w:val="00147C3D"/>
    <w:rsid w:val="00152F30"/>
    <w:rsid w:val="00154133"/>
    <w:rsid w:val="00154C04"/>
    <w:rsid w:val="001572BC"/>
    <w:rsid w:val="001612CE"/>
    <w:rsid w:val="00161647"/>
    <w:rsid w:val="0016365B"/>
    <w:rsid w:val="00164770"/>
    <w:rsid w:val="00164E21"/>
    <w:rsid w:val="001667F5"/>
    <w:rsid w:val="00171C81"/>
    <w:rsid w:val="00172D96"/>
    <w:rsid w:val="0017377B"/>
    <w:rsid w:val="00176E19"/>
    <w:rsid w:val="001803FA"/>
    <w:rsid w:val="00184756"/>
    <w:rsid w:val="00186932"/>
    <w:rsid w:val="00190C9E"/>
    <w:rsid w:val="001916FE"/>
    <w:rsid w:val="0019192D"/>
    <w:rsid w:val="00191D6D"/>
    <w:rsid w:val="00192A68"/>
    <w:rsid w:val="001933DE"/>
    <w:rsid w:val="00193AC9"/>
    <w:rsid w:val="00193B92"/>
    <w:rsid w:val="00196093"/>
    <w:rsid w:val="001A07D9"/>
    <w:rsid w:val="001A33F4"/>
    <w:rsid w:val="001B1CCF"/>
    <w:rsid w:val="001B55DF"/>
    <w:rsid w:val="001B7265"/>
    <w:rsid w:val="001C0D48"/>
    <w:rsid w:val="001C16C6"/>
    <w:rsid w:val="001C1C12"/>
    <w:rsid w:val="001C1E53"/>
    <w:rsid w:val="001C2691"/>
    <w:rsid w:val="001C41EB"/>
    <w:rsid w:val="001C476D"/>
    <w:rsid w:val="001C4B48"/>
    <w:rsid w:val="001C5064"/>
    <w:rsid w:val="001C57B6"/>
    <w:rsid w:val="001D069C"/>
    <w:rsid w:val="001D3C2D"/>
    <w:rsid w:val="001D4A14"/>
    <w:rsid w:val="001D53EF"/>
    <w:rsid w:val="001D6976"/>
    <w:rsid w:val="001E1854"/>
    <w:rsid w:val="001E1C61"/>
    <w:rsid w:val="001E4373"/>
    <w:rsid w:val="001E46E3"/>
    <w:rsid w:val="001E5907"/>
    <w:rsid w:val="001F31A9"/>
    <w:rsid w:val="001F37C7"/>
    <w:rsid w:val="001F4A21"/>
    <w:rsid w:val="001F4F13"/>
    <w:rsid w:val="001F6343"/>
    <w:rsid w:val="002002C6"/>
    <w:rsid w:val="00200C5C"/>
    <w:rsid w:val="002010A6"/>
    <w:rsid w:val="00201C1A"/>
    <w:rsid w:val="00204BC1"/>
    <w:rsid w:val="002065CA"/>
    <w:rsid w:val="00210078"/>
    <w:rsid w:val="00210753"/>
    <w:rsid w:val="00212C1F"/>
    <w:rsid w:val="00215017"/>
    <w:rsid w:val="002158CB"/>
    <w:rsid w:val="002177DC"/>
    <w:rsid w:val="00225AC5"/>
    <w:rsid w:val="002262A0"/>
    <w:rsid w:val="00226BF6"/>
    <w:rsid w:val="002279ED"/>
    <w:rsid w:val="00231EE8"/>
    <w:rsid w:val="00233C6A"/>
    <w:rsid w:val="00234A79"/>
    <w:rsid w:val="00234CF1"/>
    <w:rsid w:val="00235C1E"/>
    <w:rsid w:val="00236581"/>
    <w:rsid w:val="002371DF"/>
    <w:rsid w:val="002469A7"/>
    <w:rsid w:val="00246EC2"/>
    <w:rsid w:val="002475F3"/>
    <w:rsid w:val="00253495"/>
    <w:rsid w:val="002565B6"/>
    <w:rsid w:val="0025699F"/>
    <w:rsid w:val="00256FF3"/>
    <w:rsid w:val="00257E9C"/>
    <w:rsid w:val="0026111F"/>
    <w:rsid w:val="00261136"/>
    <w:rsid w:val="00261333"/>
    <w:rsid w:val="002617E6"/>
    <w:rsid w:val="002660AB"/>
    <w:rsid w:val="002673FE"/>
    <w:rsid w:val="002701F4"/>
    <w:rsid w:val="0027439B"/>
    <w:rsid w:val="00276EB1"/>
    <w:rsid w:val="00280710"/>
    <w:rsid w:val="00280B9B"/>
    <w:rsid w:val="00281FB5"/>
    <w:rsid w:val="00282A17"/>
    <w:rsid w:val="002832EB"/>
    <w:rsid w:val="00283AAE"/>
    <w:rsid w:val="00290212"/>
    <w:rsid w:val="002935C5"/>
    <w:rsid w:val="002973B7"/>
    <w:rsid w:val="002A0E63"/>
    <w:rsid w:val="002A2BB4"/>
    <w:rsid w:val="002A552F"/>
    <w:rsid w:val="002A59E9"/>
    <w:rsid w:val="002A762F"/>
    <w:rsid w:val="002B534D"/>
    <w:rsid w:val="002C298F"/>
    <w:rsid w:val="002C3574"/>
    <w:rsid w:val="002C40A9"/>
    <w:rsid w:val="002C7D6A"/>
    <w:rsid w:val="002D2FC0"/>
    <w:rsid w:val="002D45EF"/>
    <w:rsid w:val="002E1B88"/>
    <w:rsid w:val="002E25B6"/>
    <w:rsid w:val="002E2982"/>
    <w:rsid w:val="002F0313"/>
    <w:rsid w:val="002F0CE4"/>
    <w:rsid w:val="002F0D91"/>
    <w:rsid w:val="002F1269"/>
    <w:rsid w:val="002F1CC7"/>
    <w:rsid w:val="002F5F5E"/>
    <w:rsid w:val="00301B41"/>
    <w:rsid w:val="003021B4"/>
    <w:rsid w:val="00303615"/>
    <w:rsid w:val="00305B89"/>
    <w:rsid w:val="00306C74"/>
    <w:rsid w:val="00307F68"/>
    <w:rsid w:val="003103DC"/>
    <w:rsid w:val="003137FE"/>
    <w:rsid w:val="003155E6"/>
    <w:rsid w:val="00315C03"/>
    <w:rsid w:val="00317B5C"/>
    <w:rsid w:val="00321B08"/>
    <w:rsid w:val="003224C3"/>
    <w:rsid w:val="0032254A"/>
    <w:rsid w:val="003265D1"/>
    <w:rsid w:val="003302F5"/>
    <w:rsid w:val="003314AD"/>
    <w:rsid w:val="003317FF"/>
    <w:rsid w:val="00334889"/>
    <w:rsid w:val="00334FD4"/>
    <w:rsid w:val="003350F0"/>
    <w:rsid w:val="00335878"/>
    <w:rsid w:val="00335E39"/>
    <w:rsid w:val="00337A26"/>
    <w:rsid w:val="00340A54"/>
    <w:rsid w:val="003533A7"/>
    <w:rsid w:val="00355527"/>
    <w:rsid w:val="00355901"/>
    <w:rsid w:val="0036062C"/>
    <w:rsid w:val="00367500"/>
    <w:rsid w:val="00370F8A"/>
    <w:rsid w:val="00370FDD"/>
    <w:rsid w:val="00371074"/>
    <w:rsid w:val="00371F2D"/>
    <w:rsid w:val="003722E3"/>
    <w:rsid w:val="00372869"/>
    <w:rsid w:val="00373A61"/>
    <w:rsid w:val="00375287"/>
    <w:rsid w:val="00377836"/>
    <w:rsid w:val="00383166"/>
    <w:rsid w:val="00384945"/>
    <w:rsid w:val="003857A1"/>
    <w:rsid w:val="00385896"/>
    <w:rsid w:val="00385AA5"/>
    <w:rsid w:val="00386FBE"/>
    <w:rsid w:val="00391D33"/>
    <w:rsid w:val="00391EA0"/>
    <w:rsid w:val="0039572C"/>
    <w:rsid w:val="003957EA"/>
    <w:rsid w:val="003965B7"/>
    <w:rsid w:val="003A2E36"/>
    <w:rsid w:val="003A404D"/>
    <w:rsid w:val="003A569F"/>
    <w:rsid w:val="003B56E3"/>
    <w:rsid w:val="003B5819"/>
    <w:rsid w:val="003C11B4"/>
    <w:rsid w:val="003C2E6B"/>
    <w:rsid w:val="003C2F14"/>
    <w:rsid w:val="003C5653"/>
    <w:rsid w:val="003C659A"/>
    <w:rsid w:val="003D2C95"/>
    <w:rsid w:val="003D3A97"/>
    <w:rsid w:val="003D6B23"/>
    <w:rsid w:val="003E3226"/>
    <w:rsid w:val="003E348D"/>
    <w:rsid w:val="003E759F"/>
    <w:rsid w:val="003F15EE"/>
    <w:rsid w:val="003F5413"/>
    <w:rsid w:val="003F6763"/>
    <w:rsid w:val="00400FBD"/>
    <w:rsid w:val="00401AA6"/>
    <w:rsid w:val="004066CF"/>
    <w:rsid w:val="004127C1"/>
    <w:rsid w:val="004134AF"/>
    <w:rsid w:val="00413675"/>
    <w:rsid w:val="00413C28"/>
    <w:rsid w:val="00413C50"/>
    <w:rsid w:val="004151EB"/>
    <w:rsid w:val="004158B9"/>
    <w:rsid w:val="00416119"/>
    <w:rsid w:val="00416A41"/>
    <w:rsid w:val="00417A3C"/>
    <w:rsid w:val="00422915"/>
    <w:rsid w:val="00423C15"/>
    <w:rsid w:val="004248B0"/>
    <w:rsid w:val="0042581C"/>
    <w:rsid w:val="00425A03"/>
    <w:rsid w:val="00426101"/>
    <w:rsid w:val="00430AA3"/>
    <w:rsid w:val="00430FCF"/>
    <w:rsid w:val="00431941"/>
    <w:rsid w:val="00435205"/>
    <w:rsid w:val="00436788"/>
    <w:rsid w:val="00436ED4"/>
    <w:rsid w:val="00437978"/>
    <w:rsid w:val="00437A15"/>
    <w:rsid w:val="00442A18"/>
    <w:rsid w:val="00445D11"/>
    <w:rsid w:val="00452DB1"/>
    <w:rsid w:val="00453996"/>
    <w:rsid w:val="00453EA1"/>
    <w:rsid w:val="00454003"/>
    <w:rsid w:val="00454389"/>
    <w:rsid w:val="00455BD8"/>
    <w:rsid w:val="00460186"/>
    <w:rsid w:val="00464C0E"/>
    <w:rsid w:val="00466D0E"/>
    <w:rsid w:val="00467A44"/>
    <w:rsid w:val="004733DD"/>
    <w:rsid w:val="00477783"/>
    <w:rsid w:val="00483F08"/>
    <w:rsid w:val="0048578A"/>
    <w:rsid w:val="004861B4"/>
    <w:rsid w:val="00486EC3"/>
    <w:rsid w:val="00487DD7"/>
    <w:rsid w:val="00491247"/>
    <w:rsid w:val="00492244"/>
    <w:rsid w:val="00495F4E"/>
    <w:rsid w:val="00496B37"/>
    <w:rsid w:val="00496CEA"/>
    <w:rsid w:val="004978AE"/>
    <w:rsid w:val="004A7E4E"/>
    <w:rsid w:val="004B00FC"/>
    <w:rsid w:val="004B20AD"/>
    <w:rsid w:val="004B223A"/>
    <w:rsid w:val="004B2F1B"/>
    <w:rsid w:val="004B4379"/>
    <w:rsid w:val="004B4B3A"/>
    <w:rsid w:val="004B52CE"/>
    <w:rsid w:val="004B545F"/>
    <w:rsid w:val="004B74BF"/>
    <w:rsid w:val="004C05F8"/>
    <w:rsid w:val="004C0C0F"/>
    <w:rsid w:val="004C292B"/>
    <w:rsid w:val="004C2D1D"/>
    <w:rsid w:val="004C3F0D"/>
    <w:rsid w:val="004C5215"/>
    <w:rsid w:val="004C56F5"/>
    <w:rsid w:val="004D1F72"/>
    <w:rsid w:val="004D23B3"/>
    <w:rsid w:val="004D35C8"/>
    <w:rsid w:val="004D367B"/>
    <w:rsid w:val="004D3858"/>
    <w:rsid w:val="004D3946"/>
    <w:rsid w:val="004D3A9A"/>
    <w:rsid w:val="004D4F20"/>
    <w:rsid w:val="004D5784"/>
    <w:rsid w:val="004D62B4"/>
    <w:rsid w:val="004D70AD"/>
    <w:rsid w:val="004E0425"/>
    <w:rsid w:val="004E0C62"/>
    <w:rsid w:val="004E175A"/>
    <w:rsid w:val="004E4989"/>
    <w:rsid w:val="004E4F27"/>
    <w:rsid w:val="004E6B65"/>
    <w:rsid w:val="004E7CD2"/>
    <w:rsid w:val="004F108E"/>
    <w:rsid w:val="004F36E0"/>
    <w:rsid w:val="005007B5"/>
    <w:rsid w:val="00501835"/>
    <w:rsid w:val="00502316"/>
    <w:rsid w:val="00513434"/>
    <w:rsid w:val="00514638"/>
    <w:rsid w:val="005156A9"/>
    <w:rsid w:val="005206FD"/>
    <w:rsid w:val="0052131F"/>
    <w:rsid w:val="00521EBB"/>
    <w:rsid w:val="0052239C"/>
    <w:rsid w:val="005226BC"/>
    <w:rsid w:val="00523465"/>
    <w:rsid w:val="0052399D"/>
    <w:rsid w:val="00524A7A"/>
    <w:rsid w:val="00524E09"/>
    <w:rsid w:val="0052542D"/>
    <w:rsid w:val="00525870"/>
    <w:rsid w:val="00525E54"/>
    <w:rsid w:val="0053105C"/>
    <w:rsid w:val="00535B20"/>
    <w:rsid w:val="005409B3"/>
    <w:rsid w:val="005410BB"/>
    <w:rsid w:val="00541F51"/>
    <w:rsid w:val="00542439"/>
    <w:rsid w:val="005438F2"/>
    <w:rsid w:val="005446AF"/>
    <w:rsid w:val="00546669"/>
    <w:rsid w:val="00550844"/>
    <w:rsid w:val="005509AD"/>
    <w:rsid w:val="0055168A"/>
    <w:rsid w:val="00555A2A"/>
    <w:rsid w:val="00555D87"/>
    <w:rsid w:val="00555DD3"/>
    <w:rsid w:val="00560BDC"/>
    <w:rsid w:val="00561675"/>
    <w:rsid w:val="00565673"/>
    <w:rsid w:val="00566A1F"/>
    <w:rsid w:val="00567064"/>
    <w:rsid w:val="00567687"/>
    <w:rsid w:val="0056770A"/>
    <w:rsid w:val="00570B09"/>
    <w:rsid w:val="00571A0E"/>
    <w:rsid w:val="0057643A"/>
    <w:rsid w:val="00577D79"/>
    <w:rsid w:val="00580188"/>
    <w:rsid w:val="005802A9"/>
    <w:rsid w:val="0058519F"/>
    <w:rsid w:val="00585D83"/>
    <w:rsid w:val="0059070A"/>
    <w:rsid w:val="00590921"/>
    <w:rsid w:val="0059150B"/>
    <w:rsid w:val="00593B8B"/>
    <w:rsid w:val="0059479C"/>
    <w:rsid w:val="00596A46"/>
    <w:rsid w:val="00596F16"/>
    <w:rsid w:val="005976C2"/>
    <w:rsid w:val="00597C68"/>
    <w:rsid w:val="005A0839"/>
    <w:rsid w:val="005A0D4F"/>
    <w:rsid w:val="005A1594"/>
    <w:rsid w:val="005A1BFF"/>
    <w:rsid w:val="005A2931"/>
    <w:rsid w:val="005A46D8"/>
    <w:rsid w:val="005B10F9"/>
    <w:rsid w:val="005B48F4"/>
    <w:rsid w:val="005B58D8"/>
    <w:rsid w:val="005B5CE4"/>
    <w:rsid w:val="005C0920"/>
    <w:rsid w:val="005C1C1A"/>
    <w:rsid w:val="005C2D03"/>
    <w:rsid w:val="005C3942"/>
    <w:rsid w:val="005C6428"/>
    <w:rsid w:val="005C6D20"/>
    <w:rsid w:val="005C7734"/>
    <w:rsid w:val="005D0265"/>
    <w:rsid w:val="005D182B"/>
    <w:rsid w:val="005D24E2"/>
    <w:rsid w:val="005D426A"/>
    <w:rsid w:val="005D5C88"/>
    <w:rsid w:val="005D68D1"/>
    <w:rsid w:val="005E09E7"/>
    <w:rsid w:val="005E46E7"/>
    <w:rsid w:val="005E5DC5"/>
    <w:rsid w:val="005F0112"/>
    <w:rsid w:val="005F2042"/>
    <w:rsid w:val="005F43F5"/>
    <w:rsid w:val="005F7982"/>
    <w:rsid w:val="00600505"/>
    <w:rsid w:val="00602676"/>
    <w:rsid w:val="00603912"/>
    <w:rsid w:val="00604421"/>
    <w:rsid w:val="00604E49"/>
    <w:rsid w:val="00605D5B"/>
    <w:rsid w:val="00610343"/>
    <w:rsid w:val="00611444"/>
    <w:rsid w:val="006118A7"/>
    <w:rsid w:val="006129C9"/>
    <w:rsid w:val="00612B55"/>
    <w:rsid w:val="00613491"/>
    <w:rsid w:val="00615BF7"/>
    <w:rsid w:val="00615EB8"/>
    <w:rsid w:val="00617369"/>
    <w:rsid w:val="00621B2B"/>
    <w:rsid w:val="0062256A"/>
    <w:rsid w:val="006244B4"/>
    <w:rsid w:val="00626528"/>
    <w:rsid w:val="006265E4"/>
    <w:rsid w:val="0062704C"/>
    <w:rsid w:val="00633DF0"/>
    <w:rsid w:val="00634088"/>
    <w:rsid w:val="0063643A"/>
    <w:rsid w:val="00640306"/>
    <w:rsid w:val="00640768"/>
    <w:rsid w:val="006426DB"/>
    <w:rsid w:val="0064292E"/>
    <w:rsid w:val="006440BB"/>
    <w:rsid w:val="0064479F"/>
    <w:rsid w:val="006447F9"/>
    <w:rsid w:val="006450FE"/>
    <w:rsid w:val="006465BE"/>
    <w:rsid w:val="006468D2"/>
    <w:rsid w:val="00650BF7"/>
    <w:rsid w:val="00653337"/>
    <w:rsid w:val="006538D4"/>
    <w:rsid w:val="00653CB2"/>
    <w:rsid w:val="00653F3F"/>
    <w:rsid w:val="00654B15"/>
    <w:rsid w:val="006556C7"/>
    <w:rsid w:val="006564D5"/>
    <w:rsid w:val="00656758"/>
    <w:rsid w:val="00661591"/>
    <w:rsid w:val="00661A35"/>
    <w:rsid w:val="00662C14"/>
    <w:rsid w:val="00667D52"/>
    <w:rsid w:val="00671DA3"/>
    <w:rsid w:val="006755B8"/>
    <w:rsid w:val="0067773D"/>
    <w:rsid w:val="0068055B"/>
    <w:rsid w:val="00685F7E"/>
    <w:rsid w:val="00687143"/>
    <w:rsid w:val="00687302"/>
    <w:rsid w:val="006914F9"/>
    <w:rsid w:val="00691E19"/>
    <w:rsid w:val="00691F71"/>
    <w:rsid w:val="00692F16"/>
    <w:rsid w:val="0069373B"/>
    <w:rsid w:val="006940BB"/>
    <w:rsid w:val="00694EFE"/>
    <w:rsid w:val="00696DAC"/>
    <w:rsid w:val="006A59F3"/>
    <w:rsid w:val="006A5CB1"/>
    <w:rsid w:val="006A6B4E"/>
    <w:rsid w:val="006A6BFD"/>
    <w:rsid w:val="006A6E28"/>
    <w:rsid w:val="006A76DD"/>
    <w:rsid w:val="006B224A"/>
    <w:rsid w:val="006B3930"/>
    <w:rsid w:val="006C1528"/>
    <w:rsid w:val="006C22A6"/>
    <w:rsid w:val="006C2B1F"/>
    <w:rsid w:val="006C5B86"/>
    <w:rsid w:val="006C7C11"/>
    <w:rsid w:val="006D3EDF"/>
    <w:rsid w:val="006D3F08"/>
    <w:rsid w:val="006D60BF"/>
    <w:rsid w:val="006D6A7D"/>
    <w:rsid w:val="006D7EF2"/>
    <w:rsid w:val="006E1578"/>
    <w:rsid w:val="006E166B"/>
    <w:rsid w:val="006E3A1A"/>
    <w:rsid w:val="006E6230"/>
    <w:rsid w:val="006E69BD"/>
    <w:rsid w:val="006E6E9B"/>
    <w:rsid w:val="006F04EF"/>
    <w:rsid w:val="006F242B"/>
    <w:rsid w:val="006F2B30"/>
    <w:rsid w:val="006F4817"/>
    <w:rsid w:val="006F5909"/>
    <w:rsid w:val="00700468"/>
    <w:rsid w:val="00701226"/>
    <w:rsid w:val="0070199C"/>
    <w:rsid w:val="007023EF"/>
    <w:rsid w:val="0070500B"/>
    <w:rsid w:val="00705504"/>
    <w:rsid w:val="00710A67"/>
    <w:rsid w:val="00711741"/>
    <w:rsid w:val="0071223E"/>
    <w:rsid w:val="00712363"/>
    <w:rsid w:val="00713010"/>
    <w:rsid w:val="00714609"/>
    <w:rsid w:val="00715DD6"/>
    <w:rsid w:val="00716950"/>
    <w:rsid w:val="00717B11"/>
    <w:rsid w:val="007207F4"/>
    <w:rsid w:val="00722174"/>
    <w:rsid w:val="00722A00"/>
    <w:rsid w:val="00723FEB"/>
    <w:rsid w:val="00724B93"/>
    <w:rsid w:val="00726A12"/>
    <w:rsid w:val="00727B44"/>
    <w:rsid w:val="0073357B"/>
    <w:rsid w:val="00733C24"/>
    <w:rsid w:val="007362A0"/>
    <w:rsid w:val="00737093"/>
    <w:rsid w:val="007425CA"/>
    <w:rsid w:val="00744DF2"/>
    <w:rsid w:val="00745A5E"/>
    <w:rsid w:val="00745D82"/>
    <w:rsid w:val="00747B9B"/>
    <w:rsid w:val="00751F9B"/>
    <w:rsid w:val="00753383"/>
    <w:rsid w:val="00754ADE"/>
    <w:rsid w:val="00757439"/>
    <w:rsid w:val="00761F18"/>
    <w:rsid w:val="00762B48"/>
    <w:rsid w:val="00762C9D"/>
    <w:rsid w:val="0076311B"/>
    <w:rsid w:val="00763B10"/>
    <w:rsid w:val="0076556D"/>
    <w:rsid w:val="00765DA1"/>
    <w:rsid w:val="00766F4B"/>
    <w:rsid w:val="0077251E"/>
    <w:rsid w:val="0077334E"/>
    <w:rsid w:val="00773719"/>
    <w:rsid w:val="00773816"/>
    <w:rsid w:val="00773B97"/>
    <w:rsid w:val="007765D0"/>
    <w:rsid w:val="00777C3E"/>
    <w:rsid w:val="00777D38"/>
    <w:rsid w:val="00782FCB"/>
    <w:rsid w:val="0078340E"/>
    <w:rsid w:val="00785C47"/>
    <w:rsid w:val="00786239"/>
    <w:rsid w:val="007878C8"/>
    <w:rsid w:val="00793610"/>
    <w:rsid w:val="00794A29"/>
    <w:rsid w:val="0079511F"/>
    <w:rsid w:val="00796075"/>
    <w:rsid w:val="00796707"/>
    <w:rsid w:val="007A17EE"/>
    <w:rsid w:val="007A5BBD"/>
    <w:rsid w:val="007A6A21"/>
    <w:rsid w:val="007A7880"/>
    <w:rsid w:val="007B0182"/>
    <w:rsid w:val="007B057E"/>
    <w:rsid w:val="007B1392"/>
    <w:rsid w:val="007B2FD3"/>
    <w:rsid w:val="007B51B7"/>
    <w:rsid w:val="007B5A84"/>
    <w:rsid w:val="007C0682"/>
    <w:rsid w:val="007C1706"/>
    <w:rsid w:val="007C1A6F"/>
    <w:rsid w:val="007C22BD"/>
    <w:rsid w:val="007C343F"/>
    <w:rsid w:val="007C5D02"/>
    <w:rsid w:val="007C6B79"/>
    <w:rsid w:val="007D21A8"/>
    <w:rsid w:val="007D2F1B"/>
    <w:rsid w:val="007D3295"/>
    <w:rsid w:val="007D394D"/>
    <w:rsid w:val="007D5FE6"/>
    <w:rsid w:val="007D6039"/>
    <w:rsid w:val="007D7D65"/>
    <w:rsid w:val="007E2D0E"/>
    <w:rsid w:val="007E3533"/>
    <w:rsid w:val="007E44B0"/>
    <w:rsid w:val="007E4687"/>
    <w:rsid w:val="007E5622"/>
    <w:rsid w:val="007E74A5"/>
    <w:rsid w:val="007F3A54"/>
    <w:rsid w:val="007F3B71"/>
    <w:rsid w:val="007F764B"/>
    <w:rsid w:val="00800BFC"/>
    <w:rsid w:val="00801239"/>
    <w:rsid w:val="008050C2"/>
    <w:rsid w:val="0081402E"/>
    <w:rsid w:val="00817FA3"/>
    <w:rsid w:val="0082080F"/>
    <w:rsid w:val="00820C49"/>
    <w:rsid w:val="008210C8"/>
    <w:rsid w:val="008214BD"/>
    <w:rsid w:val="008272CD"/>
    <w:rsid w:val="00831424"/>
    <w:rsid w:val="00832536"/>
    <w:rsid w:val="00837802"/>
    <w:rsid w:val="008400C6"/>
    <w:rsid w:val="0084301F"/>
    <w:rsid w:val="0084352E"/>
    <w:rsid w:val="00847866"/>
    <w:rsid w:val="00850ED1"/>
    <w:rsid w:val="00853E49"/>
    <w:rsid w:val="00854A2F"/>
    <w:rsid w:val="00856782"/>
    <w:rsid w:val="008570D4"/>
    <w:rsid w:val="0085757E"/>
    <w:rsid w:val="00857751"/>
    <w:rsid w:val="008611DA"/>
    <w:rsid w:val="00865956"/>
    <w:rsid w:val="00867CD8"/>
    <w:rsid w:val="00872386"/>
    <w:rsid w:val="00873567"/>
    <w:rsid w:val="00873D47"/>
    <w:rsid w:val="00876AA8"/>
    <w:rsid w:val="00877402"/>
    <w:rsid w:val="008844E8"/>
    <w:rsid w:val="00885685"/>
    <w:rsid w:val="00885C5E"/>
    <w:rsid w:val="00886027"/>
    <w:rsid w:val="00887136"/>
    <w:rsid w:val="008912B0"/>
    <w:rsid w:val="00892193"/>
    <w:rsid w:val="00893657"/>
    <w:rsid w:val="00893784"/>
    <w:rsid w:val="00894A7C"/>
    <w:rsid w:val="00897C07"/>
    <w:rsid w:val="008A07F2"/>
    <w:rsid w:val="008A0A86"/>
    <w:rsid w:val="008A2C67"/>
    <w:rsid w:val="008A4C9B"/>
    <w:rsid w:val="008B1A3C"/>
    <w:rsid w:val="008B21BA"/>
    <w:rsid w:val="008C12BA"/>
    <w:rsid w:val="008C4007"/>
    <w:rsid w:val="008C6EC7"/>
    <w:rsid w:val="008D1BE1"/>
    <w:rsid w:val="008D26C9"/>
    <w:rsid w:val="008D705F"/>
    <w:rsid w:val="008D747C"/>
    <w:rsid w:val="008E030F"/>
    <w:rsid w:val="008E1ACA"/>
    <w:rsid w:val="008E2E48"/>
    <w:rsid w:val="008E608E"/>
    <w:rsid w:val="008E6291"/>
    <w:rsid w:val="008E648B"/>
    <w:rsid w:val="008F3141"/>
    <w:rsid w:val="008F380B"/>
    <w:rsid w:val="00900B26"/>
    <w:rsid w:val="009027CF"/>
    <w:rsid w:val="00902E85"/>
    <w:rsid w:val="00903286"/>
    <w:rsid w:val="00905617"/>
    <w:rsid w:val="00906B11"/>
    <w:rsid w:val="00906F06"/>
    <w:rsid w:val="00907B62"/>
    <w:rsid w:val="00911AA5"/>
    <w:rsid w:val="009120AD"/>
    <w:rsid w:val="009136DE"/>
    <w:rsid w:val="009144A1"/>
    <w:rsid w:val="009161C2"/>
    <w:rsid w:val="009225EA"/>
    <w:rsid w:val="00923DDD"/>
    <w:rsid w:val="009246B9"/>
    <w:rsid w:val="009254B9"/>
    <w:rsid w:val="009257D5"/>
    <w:rsid w:val="00927C70"/>
    <w:rsid w:val="00927E59"/>
    <w:rsid w:val="00931EDE"/>
    <w:rsid w:val="009322CA"/>
    <w:rsid w:val="0093258E"/>
    <w:rsid w:val="00933C1A"/>
    <w:rsid w:val="00934F1C"/>
    <w:rsid w:val="00935E8A"/>
    <w:rsid w:val="009369BF"/>
    <w:rsid w:val="00936D0A"/>
    <w:rsid w:val="00941333"/>
    <w:rsid w:val="00941631"/>
    <w:rsid w:val="00941E54"/>
    <w:rsid w:val="009427BE"/>
    <w:rsid w:val="00943443"/>
    <w:rsid w:val="0094354C"/>
    <w:rsid w:val="00944832"/>
    <w:rsid w:val="00950132"/>
    <w:rsid w:val="009515DA"/>
    <w:rsid w:val="0095343D"/>
    <w:rsid w:val="00953E64"/>
    <w:rsid w:val="009540A4"/>
    <w:rsid w:val="00954121"/>
    <w:rsid w:val="009545C3"/>
    <w:rsid w:val="0095610E"/>
    <w:rsid w:val="009569C6"/>
    <w:rsid w:val="00961E61"/>
    <w:rsid w:val="009624CB"/>
    <w:rsid w:val="00962702"/>
    <w:rsid w:val="00962BB0"/>
    <w:rsid w:val="00962CC2"/>
    <w:rsid w:val="009639AD"/>
    <w:rsid w:val="0096632A"/>
    <w:rsid w:val="0096675A"/>
    <w:rsid w:val="009709B4"/>
    <w:rsid w:val="00970CC7"/>
    <w:rsid w:val="0097630E"/>
    <w:rsid w:val="0098112D"/>
    <w:rsid w:val="00981902"/>
    <w:rsid w:val="00981B34"/>
    <w:rsid w:val="00983EEE"/>
    <w:rsid w:val="00987522"/>
    <w:rsid w:val="00987742"/>
    <w:rsid w:val="00987B70"/>
    <w:rsid w:val="00990D90"/>
    <w:rsid w:val="00992B03"/>
    <w:rsid w:val="0099344A"/>
    <w:rsid w:val="00993973"/>
    <w:rsid w:val="00994954"/>
    <w:rsid w:val="009A018D"/>
    <w:rsid w:val="009A09D5"/>
    <w:rsid w:val="009A25D8"/>
    <w:rsid w:val="009A28B7"/>
    <w:rsid w:val="009A35B2"/>
    <w:rsid w:val="009A727F"/>
    <w:rsid w:val="009A7F77"/>
    <w:rsid w:val="009B1AFF"/>
    <w:rsid w:val="009B2741"/>
    <w:rsid w:val="009B28E3"/>
    <w:rsid w:val="009B4BD8"/>
    <w:rsid w:val="009B5286"/>
    <w:rsid w:val="009B58B8"/>
    <w:rsid w:val="009C121B"/>
    <w:rsid w:val="009C171F"/>
    <w:rsid w:val="009C2031"/>
    <w:rsid w:val="009C28BB"/>
    <w:rsid w:val="009C2C98"/>
    <w:rsid w:val="009C5A17"/>
    <w:rsid w:val="009C5AFC"/>
    <w:rsid w:val="009D0DCF"/>
    <w:rsid w:val="009D232F"/>
    <w:rsid w:val="009D24F5"/>
    <w:rsid w:val="009D660C"/>
    <w:rsid w:val="009D684A"/>
    <w:rsid w:val="009E00BA"/>
    <w:rsid w:val="009E5527"/>
    <w:rsid w:val="009F10A0"/>
    <w:rsid w:val="009F388E"/>
    <w:rsid w:val="009F3D3E"/>
    <w:rsid w:val="00A0066F"/>
    <w:rsid w:val="00A009DE"/>
    <w:rsid w:val="00A02108"/>
    <w:rsid w:val="00A0303A"/>
    <w:rsid w:val="00A05895"/>
    <w:rsid w:val="00A0678D"/>
    <w:rsid w:val="00A10ED8"/>
    <w:rsid w:val="00A12A6E"/>
    <w:rsid w:val="00A145B8"/>
    <w:rsid w:val="00A14981"/>
    <w:rsid w:val="00A16A40"/>
    <w:rsid w:val="00A206F4"/>
    <w:rsid w:val="00A20EF2"/>
    <w:rsid w:val="00A22E1D"/>
    <w:rsid w:val="00A2368E"/>
    <w:rsid w:val="00A23892"/>
    <w:rsid w:val="00A26480"/>
    <w:rsid w:val="00A26698"/>
    <w:rsid w:val="00A313C5"/>
    <w:rsid w:val="00A31BEC"/>
    <w:rsid w:val="00A34F47"/>
    <w:rsid w:val="00A37DB4"/>
    <w:rsid w:val="00A430BC"/>
    <w:rsid w:val="00A438C0"/>
    <w:rsid w:val="00A44065"/>
    <w:rsid w:val="00A4751C"/>
    <w:rsid w:val="00A4799D"/>
    <w:rsid w:val="00A50926"/>
    <w:rsid w:val="00A51039"/>
    <w:rsid w:val="00A518DF"/>
    <w:rsid w:val="00A534CE"/>
    <w:rsid w:val="00A536D0"/>
    <w:rsid w:val="00A53704"/>
    <w:rsid w:val="00A54FE5"/>
    <w:rsid w:val="00A56A3E"/>
    <w:rsid w:val="00A6058C"/>
    <w:rsid w:val="00A62471"/>
    <w:rsid w:val="00A66ECC"/>
    <w:rsid w:val="00A70755"/>
    <w:rsid w:val="00A72F2B"/>
    <w:rsid w:val="00A730F3"/>
    <w:rsid w:val="00A736C4"/>
    <w:rsid w:val="00A736CC"/>
    <w:rsid w:val="00A73C69"/>
    <w:rsid w:val="00A73FA7"/>
    <w:rsid w:val="00A74C2B"/>
    <w:rsid w:val="00A75C90"/>
    <w:rsid w:val="00A82778"/>
    <w:rsid w:val="00A833D0"/>
    <w:rsid w:val="00A85BE9"/>
    <w:rsid w:val="00A8638F"/>
    <w:rsid w:val="00A879C9"/>
    <w:rsid w:val="00A879E0"/>
    <w:rsid w:val="00A87C8C"/>
    <w:rsid w:val="00A9014A"/>
    <w:rsid w:val="00A90260"/>
    <w:rsid w:val="00A91451"/>
    <w:rsid w:val="00A92AB2"/>
    <w:rsid w:val="00A92DB8"/>
    <w:rsid w:val="00A93556"/>
    <w:rsid w:val="00A9471F"/>
    <w:rsid w:val="00A95214"/>
    <w:rsid w:val="00A9617C"/>
    <w:rsid w:val="00AA1297"/>
    <w:rsid w:val="00AA15E9"/>
    <w:rsid w:val="00AA6436"/>
    <w:rsid w:val="00AB539F"/>
    <w:rsid w:val="00AC14D8"/>
    <w:rsid w:val="00AC45D0"/>
    <w:rsid w:val="00AC5124"/>
    <w:rsid w:val="00AC6D69"/>
    <w:rsid w:val="00AE19C2"/>
    <w:rsid w:val="00AE3AC0"/>
    <w:rsid w:val="00AE77B0"/>
    <w:rsid w:val="00AF0581"/>
    <w:rsid w:val="00B012CF"/>
    <w:rsid w:val="00B02E5F"/>
    <w:rsid w:val="00B045A8"/>
    <w:rsid w:val="00B1117A"/>
    <w:rsid w:val="00B113BB"/>
    <w:rsid w:val="00B13ADF"/>
    <w:rsid w:val="00B148B3"/>
    <w:rsid w:val="00B15116"/>
    <w:rsid w:val="00B15AD7"/>
    <w:rsid w:val="00B15EDE"/>
    <w:rsid w:val="00B2162D"/>
    <w:rsid w:val="00B2292A"/>
    <w:rsid w:val="00B24570"/>
    <w:rsid w:val="00B32E08"/>
    <w:rsid w:val="00B35D6F"/>
    <w:rsid w:val="00B36862"/>
    <w:rsid w:val="00B36B29"/>
    <w:rsid w:val="00B37C44"/>
    <w:rsid w:val="00B400EB"/>
    <w:rsid w:val="00B409E3"/>
    <w:rsid w:val="00B42037"/>
    <w:rsid w:val="00B43649"/>
    <w:rsid w:val="00B50965"/>
    <w:rsid w:val="00B511BA"/>
    <w:rsid w:val="00B55D73"/>
    <w:rsid w:val="00B66430"/>
    <w:rsid w:val="00B67317"/>
    <w:rsid w:val="00B67AA4"/>
    <w:rsid w:val="00B72B39"/>
    <w:rsid w:val="00B737D2"/>
    <w:rsid w:val="00B74948"/>
    <w:rsid w:val="00B75586"/>
    <w:rsid w:val="00B80246"/>
    <w:rsid w:val="00B82468"/>
    <w:rsid w:val="00B82AA8"/>
    <w:rsid w:val="00B82E3A"/>
    <w:rsid w:val="00B84694"/>
    <w:rsid w:val="00B84F79"/>
    <w:rsid w:val="00B850DC"/>
    <w:rsid w:val="00B86501"/>
    <w:rsid w:val="00B87045"/>
    <w:rsid w:val="00B93C3A"/>
    <w:rsid w:val="00B93D6D"/>
    <w:rsid w:val="00B94435"/>
    <w:rsid w:val="00B95041"/>
    <w:rsid w:val="00B955FD"/>
    <w:rsid w:val="00B96B23"/>
    <w:rsid w:val="00B96B78"/>
    <w:rsid w:val="00B9756C"/>
    <w:rsid w:val="00BA05EE"/>
    <w:rsid w:val="00BA0CA8"/>
    <w:rsid w:val="00BA3064"/>
    <w:rsid w:val="00BA46A3"/>
    <w:rsid w:val="00BA47E5"/>
    <w:rsid w:val="00BA4DC7"/>
    <w:rsid w:val="00BA64EF"/>
    <w:rsid w:val="00BA760E"/>
    <w:rsid w:val="00BB006B"/>
    <w:rsid w:val="00BB0865"/>
    <w:rsid w:val="00BB2BC1"/>
    <w:rsid w:val="00BB3C4D"/>
    <w:rsid w:val="00BB60AD"/>
    <w:rsid w:val="00BB7E11"/>
    <w:rsid w:val="00BC012D"/>
    <w:rsid w:val="00BC2A1A"/>
    <w:rsid w:val="00BC4261"/>
    <w:rsid w:val="00BC5EFB"/>
    <w:rsid w:val="00BC6CBD"/>
    <w:rsid w:val="00BD0817"/>
    <w:rsid w:val="00BD2588"/>
    <w:rsid w:val="00BD2986"/>
    <w:rsid w:val="00BD2CD6"/>
    <w:rsid w:val="00BD5867"/>
    <w:rsid w:val="00BD69FD"/>
    <w:rsid w:val="00BD7130"/>
    <w:rsid w:val="00BE4D62"/>
    <w:rsid w:val="00BE6095"/>
    <w:rsid w:val="00BE6AD9"/>
    <w:rsid w:val="00BF0C41"/>
    <w:rsid w:val="00BF32F9"/>
    <w:rsid w:val="00BF5235"/>
    <w:rsid w:val="00BF58FC"/>
    <w:rsid w:val="00BF755D"/>
    <w:rsid w:val="00BF7BF9"/>
    <w:rsid w:val="00C01A5E"/>
    <w:rsid w:val="00C04826"/>
    <w:rsid w:val="00C06853"/>
    <w:rsid w:val="00C15E9E"/>
    <w:rsid w:val="00C20215"/>
    <w:rsid w:val="00C21294"/>
    <w:rsid w:val="00C21AAF"/>
    <w:rsid w:val="00C22D51"/>
    <w:rsid w:val="00C23916"/>
    <w:rsid w:val="00C27D23"/>
    <w:rsid w:val="00C304B3"/>
    <w:rsid w:val="00C31033"/>
    <w:rsid w:val="00C312CC"/>
    <w:rsid w:val="00C3168E"/>
    <w:rsid w:val="00C319EC"/>
    <w:rsid w:val="00C321D1"/>
    <w:rsid w:val="00C3367C"/>
    <w:rsid w:val="00C34014"/>
    <w:rsid w:val="00C35941"/>
    <w:rsid w:val="00C36651"/>
    <w:rsid w:val="00C401BC"/>
    <w:rsid w:val="00C444EA"/>
    <w:rsid w:val="00C4533B"/>
    <w:rsid w:val="00C45490"/>
    <w:rsid w:val="00C4679F"/>
    <w:rsid w:val="00C4783F"/>
    <w:rsid w:val="00C47DB6"/>
    <w:rsid w:val="00C5166C"/>
    <w:rsid w:val="00C516D2"/>
    <w:rsid w:val="00C51A73"/>
    <w:rsid w:val="00C55748"/>
    <w:rsid w:val="00C5715A"/>
    <w:rsid w:val="00C572BD"/>
    <w:rsid w:val="00C611DF"/>
    <w:rsid w:val="00C61D8E"/>
    <w:rsid w:val="00C66E99"/>
    <w:rsid w:val="00C704D7"/>
    <w:rsid w:val="00C70B42"/>
    <w:rsid w:val="00C7455C"/>
    <w:rsid w:val="00C74841"/>
    <w:rsid w:val="00C76002"/>
    <w:rsid w:val="00C81F83"/>
    <w:rsid w:val="00C866A8"/>
    <w:rsid w:val="00C86F96"/>
    <w:rsid w:val="00C91EA8"/>
    <w:rsid w:val="00C92864"/>
    <w:rsid w:val="00C93413"/>
    <w:rsid w:val="00C958DA"/>
    <w:rsid w:val="00C96205"/>
    <w:rsid w:val="00CA3C56"/>
    <w:rsid w:val="00CA4049"/>
    <w:rsid w:val="00CA6DAE"/>
    <w:rsid w:val="00CA709B"/>
    <w:rsid w:val="00CB2EAF"/>
    <w:rsid w:val="00CB2FAC"/>
    <w:rsid w:val="00CB7B2A"/>
    <w:rsid w:val="00CB7CBA"/>
    <w:rsid w:val="00CC52EA"/>
    <w:rsid w:val="00CD0FC7"/>
    <w:rsid w:val="00CD2035"/>
    <w:rsid w:val="00CD2AC5"/>
    <w:rsid w:val="00CE261D"/>
    <w:rsid w:val="00CE3F2C"/>
    <w:rsid w:val="00CE5463"/>
    <w:rsid w:val="00CF34CC"/>
    <w:rsid w:val="00CF37F7"/>
    <w:rsid w:val="00CF3809"/>
    <w:rsid w:val="00CF73CE"/>
    <w:rsid w:val="00D01A16"/>
    <w:rsid w:val="00D0266E"/>
    <w:rsid w:val="00D038A0"/>
    <w:rsid w:val="00D1423C"/>
    <w:rsid w:val="00D15308"/>
    <w:rsid w:val="00D1588F"/>
    <w:rsid w:val="00D224AA"/>
    <w:rsid w:val="00D24621"/>
    <w:rsid w:val="00D246A5"/>
    <w:rsid w:val="00D25EC9"/>
    <w:rsid w:val="00D25F52"/>
    <w:rsid w:val="00D261CD"/>
    <w:rsid w:val="00D26B0F"/>
    <w:rsid w:val="00D2726F"/>
    <w:rsid w:val="00D27A6A"/>
    <w:rsid w:val="00D37AE7"/>
    <w:rsid w:val="00D40A42"/>
    <w:rsid w:val="00D4178F"/>
    <w:rsid w:val="00D43523"/>
    <w:rsid w:val="00D44BD3"/>
    <w:rsid w:val="00D45015"/>
    <w:rsid w:val="00D45FA7"/>
    <w:rsid w:val="00D6041D"/>
    <w:rsid w:val="00D61B3A"/>
    <w:rsid w:val="00D64CF7"/>
    <w:rsid w:val="00D65450"/>
    <w:rsid w:val="00D66E4E"/>
    <w:rsid w:val="00D67540"/>
    <w:rsid w:val="00D67F54"/>
    <w:rsid w:val="00D701F0"/>
    <w:rsid w:val="00D70D12"/>
    <w:rsid w:val="00D71450"/>
    <w:rsid w:val="00D71F35"/>
    <w:rsid w:val="00D72517"/>
    <w:rsid w:val="00D73EB1"/>
    <w:rsid w:val="00D74588"/>
    <w:rsid w:val="00D7470F"/>
    <w:rsid w:val="00D80B9F"/>
    <w:rsid w:val="00D829B9"/>
    <w:rsid w:val="00D83398"/>
    <w:rsid w:val="00D834DD"/>
    <w:rsid w:val="00D8365C"/>
    <w:rsid w:val="00D83E38"/>
    <w:rsid w:val="00D84E07"/>
    <w:rsid w:val="00D86C6F"/>
    <w:rsid w:val="00D87D18"/>
    <w:rsid w:val="00D94E72"/>
    <w:rsid w:val="00D95445"/>
    <w:rsid w:val="00DA1B07"/>
    <w:rsid w:val="00DA1F76"/>
    <w:rsid w:val="00DA4680"/>
    <w:rsid w:val="00DA628F"/>
    <w:rsid w:val="00DA6D3B"/>
    <w:rsid w:val="00DA6EF8"/>
    <w:rsid w:val="00DB20DE"/>
    <w:rsid w:val="00DB25F8"/>
    <w:rsid w:val="00DB2BA4"/>
    <w:rsid w:val="00DB332D"/>
    <w:rsid w:val="00DB4FA7"/>
    <w:rsid w:val="00DC1307"/>
    <w:rsid w:val="00DC63E1"/>
    <w:rsid w:val="00DC6800"/>
    <w:rsid w:val="00DD2CC7"/>
    <w:rsid w:val="00DD3CDE"/>
    <w:rsid w:val="00DD49A4"/>
    <w:rsid w:val="00DD52E7"/>
    <w:rsid w:val="00DE0AC1"/>
    <w:rsid w:val="00DE1BC9"/>
    <w:rsid w:val="00DE3FB0"/>
    <w:rsid w:val="00DE6025"/>
    <w:rsid w:val="00DE7F6D"/>
    <w:rsid w:val="00DF02BD"/>
    <w:rsid w:val="00DF3B18"/>
    <w:rsid w:val="00DF494A"/>
    <w:rsid w:val="00DF5EA9"/>
    <w:rsid w:val="00DF6BA6"/>
    <w:rsid w:val="00E0043A"/>
    <w:rsid w:val="00E06F98"/>
    <w:rsid w:val="00E120C9"/>
    <w:rsid w:val="00E134FB"/>
    <w:rsid w:val="00E13528"/>
    <w:rsid w:val="00E13F37"/>
    <w:rsid w:val="00E17AC9"/>
    <w:rsid w:val="00E20F47"/>
    <w:rsid w:val="00E253D8"/>
    <w:rsid w:val="00E25551"/>
    <w:rsid w:val="00E328A5"/>
    <w:rsid w:val="00E33323"/>
    <w:rsid w:val="00E42CB6"/>
    <w:rsid w:val="00E43DA2"/>
    <w:rsid w:val="00E51D22"/>
    <w:rsid w:val="00E53640"/>
    <w:rsid w:val="00E54A70"/>
    <w:rsid w:val="00E5641B"/>
    <w:rsid w:val="00E5666F"/>
    <w:rsid w:val="00E66A01"/>
    <w:rsid w:val="00E674E4"/>
    <w:rsid w:val="00E70608"/>
    <w:rsid w:val="00E730C2"/>
    <w:rsid w:val="00E74879"/>
    <w:rsid w:val="00E76E83"/>
    <w:rsid w:val="00E80090"/>
    <w:rsid w:val="00E8048B"/>
    <w:rsid w:val="00E82866"/>
    <w:rsid w:val="00E9051A"/>
    <w:rsid w:val="00E90748"/>
    <w:rsid w:val="00E912C4"/>
    <w:rsid w:val="00E91333"/>
    <w:rsid w:val="00E9509E"/>
    <w:rsid w:val="00EA2F6C"/>
    <w:rsid w:val="00EA3152"/>
    <w:rsid w:val="00EA33D6"/>
    <w:rsid w:val="00EA4154"/>
    <w:rsid w:val="00EB2659"/>
    <w:rsid w:val="00EB7BEC"/>
    <w:rsid w:val="00EC08E6"/>
    <w:rsid w:val="00EC20B8"/>
    <w:rsid w:val="00EC220D"/>
    <w:rsid w:val="00EC41FC"/>
    <w:rsid w:val="00EC49B3"/>
    <w:rsid w:val="00EC4FFE"/>
    <w:rsid w:val="00EC6A69"/>
    <w:rsid w:val="00ED1583"/>
    <w:rsid w:val="00ED24FC"/>
    <w:rsid w:val="00ED293E"/>
    <w:rsid w:val="00ED29C8"/>
    <w:rsid w:val="00ED357A"/>
    <w:rsid w:val="00EE0F00"/>
    <w:rsid w:val="00EE2BCC"/>
    <w:rsid w:val="00EE6427"/>
    <w:rsid w:val="00EE7860"/>
    <w:rsid w:val="00EF44B9"/>
    <w:rsid w:val="00EF44FB"/>
    <w:rsid w:val="00EF5BDF"/>
    <w:rsid w:val="00EF7DEB"/>
    <w:rsid w:val="00F02F95"/>
    <w:rsid w:val="00F07E4B"/>
    <w:rsid w:val="00F13916"/>
    <w:rsid w:val="00F13A0D"/>
    <w:rsid w:val="00F14BBD"/>
    <w:rsid w:val="00F14BED"/>
    <w:rsid w:val="00F14F44"/>
    <w:rsid w:val="00F16AD7"/>
    <w:rsid w:val="00F17040"/>
    <w:rsid w:val="00F17B59"/>
    <w:rsid w:val="00F20100"/>
    <w:rsid w:val="00F20779"/>
    <w:rsid w:val="00F21532"/>
    <w:rsid w:val="00F2201B"/>
    <w:rsid w:val="00F22022"/>
    <w:rsid w:val="00F254F5"/>
    <w:rsid w:val="00F25E9F"/>
    <w:rsid w:val="00F25F03"/>
    <w:rsid w:val="00F2645B"/>
    <w:rsid w:val="00F269CF"/>
    <w:rsid w:val="00F27BA2"/>
    <w:rsid w:val="00F31727"/>
    <w:rsid w:val="00F33C32"/>
    <w:rsid w:val="00F36BC1"/>
    <w:rsid w:val="00F37B72"/>
    <w:rsid w:val="00F42546"/>
    <w:rsid w:val="00F428E5"/>
    <w:rsid w:val="00F4337A"/>
    <w:rsid w:val="00F43E32"/>
    <w:rsid w:val="00F45209"/>
    <w:rsid w:val="00F528C6"/>
    <w:rsid w:val="00F554F8"/>
    <w:rsid w:val="00F60135"/>
    <w:rsid w:val="00F64F1E"/>
    <w:rsid w:val="00F6573F"/>
    <w:rsid w:val="00F659C7"/>
    <w:rsid w:val="00F6686F"/>
    <w:rsid w:val="00F700E7"/>
    <w:rsid w:val="00F734FC"/>
    <w:rsid w:val="00F77793"/>
    <w:rsid w:val="00F84820"/>
    <w:rsid w:val="00F84C3B"/>
    <w:rsid w:val="00F85A80"/>
    <w:rsid w:val="00F85F3A"/>
    <w:rsid w:val="00F86A0D"/>
    <w:rsid w:val="00F909AA"/>
    <w:rsid w:val="00F93F80"/>
    <w:rsid w:val="00F973B6"/>
    <w:rsid w:val="00FA0364"/>
    <w:rsid w:val="00FA0EAF"/>
    <w:rsid w:val="00FA4115"/>
    <w:rsid w:val="00FA49E0"/>
    <w:rsid w:val="00FA5B69"/>
    <w:rsid w:val="00FA5F53"/>
    <w:rsid w:val="00FA671B"/>
    <w:rsid w:val="00FA7D98"/>
    <w:rsid w:val="00FB0309"/>
    <w:rsid w:val="00FB03AE"/>
    <w:rsid w:val="00FB306B"/>
    <w:rsid w:val="00FB44E4"/>
    <w:rsid w:val="00FB551E"/>
    <w:rsid w:val="00FC0724"/>
    <w:rsid w:val="00FC24C6"/>
    <w:rsid w:val="00FC3340"/>
    <w:rsid w:val="00FC402A"/>
    <w:rsid w:val="00FC7BF4"/>
    <w:rsid w:val="00FC7DD5"/>
    <w:rsid w:val="00FD0295"/>
    <w:rsid w:val="00FD2BFF"/>
    <w:rsid w:val="00FD3432"/>
    <w:rsid w:val="00FE1FB1"/>
    <w:rsid w:val="00FE3587"/>
    <w:rsid w:val="00FE46F4"/>
    <w:rsid w:val="00FE5750"/>
    <w:rsid w:val="00FE6BA8"/>
    <w:rsid w:val="00FF152C"/>
    <w:rsid w:val="00FF1FF8"/>
    <w:rsid w:val="00FF34A7"/>
    <w:rsid w:val="00FF373D"/>
    <w:rsid w:val="00FF440B"/>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655206"/>
  <w14:defaultImageDpi w14:val="330"/>
  <w15:docId w15:val="{FEE05019-9D1E-47A3-9C2C-32E644DF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Helvetica"/>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2"/>
  </w:style>
  <w:style w:type="paragraph" w:styleId="Heading1">
    <w:name w:val="heading 1"/>
    <w:basedOn w:val="Normal"/>
    <w:next w:val="Bodytext"/>
    <w:link w:val="Heading1Char"/>
    <w:qFormat/>
    <w:rsid w:val="00953E64"/>
    <w:pPr>
      <w:pageBreakBefore/>
      <w:numPr>
        <w:numId w:val="4"/>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223A"/>
    <w:pPr>
      <w:keepNext/>
      <w:keepLines/>
      <w:spacing w:before="240" w:after="120" w:line="264"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48578A"/>
    <w:pPr>
      <w:keepNext/>
      <w:keepLines/>
      <w:spacing w:before="240" w:after="60"/>
      <w:jc w:val="center"/>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54243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E33323"/>
    <w:pPr>
      <w:spacing w:before="240" w:after="240" w:line="264" w:lineRule="auto"/>
      <w:ind w:left="720"/>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9246B9"/>
    <w:pPr>
      <w:tabs>
        <w:tab w:val="left" w:pos="480"/>
        <w:tab w:val="right" w:leader="dot" w:pos="9356"/>
      </w:tabs>
      <w:spacing w:before="120" w:after="120"/>
    </w:pPr>
    <w:rPr>
      <w:rFonts w:eastAsia="Times New Roman" w:cs="Times New Roman"/>
      <w:caps/>
      <w:noProof/>
      <w:sz w:val="24"/>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D43523"/>
    <w:pPr>
      <w:spacing w:line="264" w:lineRule="auto"/>
      <w:jc w:val="both"/>
    </w:pPr>
    <w:rPr>
      <w:sz w:val="20"/>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D43523"/>
    <w:rPr>
      <w:sz w:val="20"/>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39"/>
    <w:rsid w:val="0043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uiPriority w:val="99"/>
    <w:qFormat/>
    <w:rsid w:val="00A73FA7"/>
    <w:pPr>
      <w:numPr>
        <w:numId w:val="5"/>
      </w:numPr>
      <w:spacing w:after="240" w:line="264" w:lineRule="auto"/>
    </w:pPr>
    <w:rPr>
      <w:rFonts w:eastAsia="SimSun" w:cs="Times New Roman"/>
      <w:szCs w:val="24"/>
      <w:lang w:eastAsia="en-US"/>
    </w:rPr>
  </w:style>
  <w:style w:type="character" w:customStyle="1" w:styleId="ParagraphNumberingChar">
    <w:name w:val="Paragraph Numbering Char"/>
    <w:basedOn w:val="DefaultParagraphFont"/>
    <w:link w:val="ParagraphNumbering"/>
    <w:uiPriority w:val="99"/>
    <w:locked/>
    <w:rsid w:val="00A73FA7"/>
    <w:rPr>
      <w:rFonts w:eastAsia="SimSun" w:cs="Times New Roman"/>
      <w:szCs w:val="24"/>
      <w:lang w:eastAsia="en-US"/>
    </w:rPr>
  </w:style>
  <w:style w:type="paragraph" w:customStyle="1" w:styleId="Bulletstab">
    <w:name w:val="Bullets tab"/>
    <w:basedOn w:val="Normal"/>
    <w:uiPriority w:val="99"/>
    <w:rsid w:val="00C70B42"/>
    <w:pPr>
      <w:widowControl w:val="0"/>
      <w:numPr>
        <w:ilvl w:val="1"/>
        <w:numId w:val="6"/>
      </w:numPr>
      <w:spacing w:after="120"/>
      <w:jc w:val="both"/>
    </w:pPr>
    <w:rPr>
      <w:rFonts w:eastAsia="Times New Roman" w:cs="Arial"/>
      <w:bCs/>
      <w:lang w:eastAsia="en-US"/>
    </w:rPr>
  </w:style>
  <w:style w:type="paragraph" w:styleId="ListBullet">
    <w:name w:val="List Bullet"/>
    <w:basedOn w:val="Normal"/>
    <w:uiPriority w:val="99"/>
    <w:qFormat/>
    <w:rsid w:val="00431941"/>
    <w:pPr>
      <w:numPr>
        <w:numId w:val="7"/>
      </w:numPr>
      <w:spacing w:before="240" w:after="240" w:line="264" w:lineRule="auto"/>
      <w:ind w:left="0" w:firstLine="0"/>
    </w:pPr>
    <w:rPr>
      <w:rFonts w:eastAsia="Times New Roman" w:cs="Times New Roman"/>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E33323"/>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A73FA7"/>
    <w:pPr>
      <w:numPr>
        <w:numId w:val="9"/>
      </w:numPr>
      <w:jc w:val="center"/>
    </w:pPr>
    <w:rPr>
      <w:rFonts w:cs="Arial"/>
      <w:b/>
      <w:caps/>
      <w:sz w:val="24"/>
    </w:rPr>
  </w:style>
  <w:style w:type="paragraph" w:customStyle="1" w:styleId="Topic2">
    <w:name w:val="Topic_2"/>
    <w:basedOn w:val="Topic1"/>
    <w:autoRedefine/>
    <w:qFormat/>
    <w:rsid w:val="005E09E7"/>
    <w:pPr>
      <w:keepNext/>
      <w:numPr>
        <w:numId w:val="0"/>
      </w:numPr>
    </w:pPr>
    <w:rPr>
      <w:caps w:val="0"/>
      <w:sz w:val="22"/>
    </w:rPr>
  </w:style>
  <w:style w:type="paragraph" w:customStyle="1" w:styleId="Topic3">
    <w:name w:val="Topic_3"/>
    <w:basedOn w:val="Normal"/>
    <w:qFormat/>
    <w:rsid w:val="00D15308"/>
    <w:pPr>
      <w:spacing w:before="240" w:after="120"/>
    </w:pPr>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223A"/>
    <w:rPr>
      <w:rFonts w:eastAsiaTheme="majorEastAsia" w:cstheme="majorBidi"/>
      <w:b/>
      <w:color w:val="000000" w:themeColor="text1"/>
      <w:szCs w:val="24"/>
    </w:rPr>
  </w:style>
  <w:style w:type="paragraph" w:styleId="TOC2">
    <w:name w:val="toc 2"/>
    <w:basedOn w:val="Normal"/>
    <w:next w:val="Normal"/>
    <w:autoRedefine/>
    <w:uiPriority w:val="39"/>
    <w:unhideWhenUsed/>
    <w:rsid w:val="00080F4E"/>
    <w:pPr>
      <w:tabs>
        <w:tab w:val="left" w:pos="709"/>
        <w:tab w:val="right" w:leader="dot" w:pos="9350"/>
      </w:tabs>
      <w:spacing w:after="100"/>
      <w:ind w:left="220"/>
    </w:pPr>
  </w:style>
  <w:style w:type="paragraph" w:styleId="TableofFigures">
    <w:name w:val="table of figures"/>
    <w:basedOn w:val="Normal"/>
    <w:next w:val="Normal"/>
    <w:uiPriority w:val="99"/>
    <w:unhideWhenUsed/>
    <w:rsid w:val="00422915"/>
  </w:style>
  <w:style w:type="character" w:customStyle="1" w:styleId="Heading5Char">
    <w:name w:val="Heading 5 Char"/>
    <w:basedOn w:val="DefaultParagraphFont"/>
    <w:link w:val="Heading5"/>
    <w:uiPriority w:val="9"/>
    <w:rsid w:val="0054243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48578A"/>
    <w:rPr>
      <w:rFonts w:eastAsiaTheme="majorEastAsia" w:cstheme="majorBidi"/>
      <w:b/>
      <w:i/>
      <w:iCs/>
      <w:color w:val="000000" w:themeColor="text1"/>
    </w:rPr>
  </w:style>
  <w:style w:type="character" w:customStyle="1" w:styleId="UnresolvedMention1">
    <w:name w:val="Unresolved Mention1"/>
    <w:basedOn w:val="DefaultParagraphFont"/>
    <w:uiPriority w:val="99"/>
    <w:semiHidden/>
    <w:unhideWhenUsed/>
    <w:rsid w:val="007A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143">
      <w:bodyDiv w:val="1"/>
      <w:marLeft w:val="0"/>
      <w:marRight w:val="0"/>
      <w:marTop w:val="0"/>
      <w:marBottom w:val="0"/>
      <w:divBdr>
        <w:top w:val="none" w:sz="0" w:space="0" w:color="auto"/>
        <w:left w:val="none" w:sz="0" w:space="0" w:color="auto"/>
        <w:bottom w:val="none" w:sz="0" w:space="0" w:color="auto"/>
        <w:right w:val="none" w:sz="0" w:space="0" w:color="auto"/>
      </w:divBdr>
    </w:div>
    <w:div w:id="137496675">
      <w:bodyDiv w:val="1"/>
      <w:marLeft w:val="0"/>
      <w:marRight w:val="0"/>
      <w:marTop w:val="0"/>
      <w:marBottom w:val="0"/>
      <w:divBdr>
        <w:top w:val="none" w:sz="0" w:space="0" w:color="auto"/>
        <w:left w:val="none" w:sz="0" w:space="0" w:color="auto"/>
        <w:bottom w:val="none" w:sz="0" w:space="0" w:color="auto"/>
        <w:right w:val="none" w:sz="0" w:space="0" w:color="auto"/>
      </w:divBdr>
    </w:div>
    <w:div w:id="170725759">
      <w:bodyDiv w:val="1"/>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sChild>
            <w:div w:id="297033185">
              <w:marLeft w:val="0"/>
              <w:marRight w:val="0"/>
              <w:marTop w:val="0"/>
              <w:marBottom w:val="0"/>
              <w:divBdr>
                <w:top w:val="none" w:sz="0" w:space="0" w:color="auto"/>
                <w:left w:val="none" w:sz="0" w:space="0" w:color="auto"/>
                <w:bottom w:val="none" w:sz="0" w:space="0" w:color="auto"/>
                <w:right w:val="none" w:sz="0" w:space="0" w:color="auto"/>
              </w:divBdr>
              <w:divsChild>
                <w:div w:id="483662587">
                  <w:marLeft w:val="0"/>
                  <w:marRight w:val="0"/>
                  <w:marTop w:val="0"/>
                  <w:marBottom w:val="0"/>
                  <w:divBdr>
                    <w:top w:val="none" w:sz="0" w:space="0" w:color="auto"/>
                    <w:left w:val="none" w:sz="0" w:space="0" w:color="auto"/>
                    <w:bottom w:val="none" w:sz="0" w:space="0" w:color="auto"/>
                    <w:right w:val="none" w:sz="0" w:space="0" w:color="auto"/>
                  </w:divBdr>
                  <w:divsChild>
                    <w:div w:id="333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3995">
      <w:bodyDiv w:val="1"/>
      <w:marLeft w:val="0"/>
      <w:marRight w:val="0"/>
      <w:marTop w:val="0"/>
      <w:marBottom w:val="0"/>
      <w:divBdr>
        <w:top w:val="none" w:sz="0" w:space="0" w:color="auto"/>
        <w:left w:val="none" w:sz="0" w:space="0" w:color="auto"/>
        <w:bottom w:val="none" w:sz="0" w:space="0" w:color="auto"/>
        <w:right w:val="none" w:sz="0" w:space="0" w:color="auto"/>
      </w:divBdr>
    </w:div>
    <w:div w:id="195312223">
      <w:bodyDiv w:val="1"/>
      <w:marLeft w:val="0"/>
      <w:marRight w:val="0"/>
      <w:marTop w:val="0"/>
      <w:marBottom w:val="0"/>
      <w:divBdr>
        <w:top w:val="none" w:sz="0" w:space="0" w:color="auto"/>
        <w:left w:val="none" w:sz="0" w:space="0" w:color="auto"/>
        <w:bottom w:val="none" w:sz="0" w:space="0" w:color="auto"/>
        <w:right w:val="none" w:sz="0" w:space="0" w:color="auto"/>
      </w:divBdr>
    </w:div>
    <w:div w:id="210272127">
      <w:bodyDiv w:val="1"/>
      <w:marLeft w:val="0"/>
      <w:marRight w:val="0"/>
      <w:marTop w:val="0"/>
      <w:marBottom w:val="0"/>
      <w:divBdr>
        <w:top w:val="none" w:sz="0" w:space="0" w:color="auto"/>
        <w:left w:val="none" w:sz="0" w:space="0" w:color="auto"/>
        <w:bottom w:val="none" w:sz="0" w:space="0" w:color="auto"/>
        <w:right w:val="none" w:sz="0" w:space="0" w:color="auto"/>
      </w:divBdr>
    </w:div>
    <w:div w:id="235286197">
      <w:bodyDiv w:val="1"/>
      <w:marLeft w:val="0"/>
      <w:marRight w:val="0"/>
      <w:marTop w:val="0"/>
      <w:marBottom w:val="0"/>
      <w:divBdr>
        <w:top w:val="none" w:sz="0" w:space="0" w:color="auto"/>
        <w:left w:val="none" w:sz="0" w:space="0" w:color="auto"/>
        <w:bottom w:val="none" w:sz="0" w:space="0" w:color="auto"/>
        <w:right w:val="none" w:sz="0" w:space="0" w:color="auto"/>
      </w:divBdr>
    </w:div>
    <w:div w:id="343829629">
      <w:bodyDiv w:val="1"/>
      <w:marLeft w:val="0"/>
      <w:marRight w:val="0"/>
      <w:marTop w:val="0"/>
      <w:marBottom w:val="0"/>
      <w:divBdr>
        <w:top w:val="none" w:sz="0" w:space="0" w:color="auto"/>
        <w:left w:val="none" w:sz="0" w:space="0" w:color="auto"/>
        <w:bottom w:val="none" w:sz="0" w:space="0" w:color="auto"/>
        <w:right w:val="none" w:sz="0" w:space="0" w:color="auto"/>
      </w:divBdr>
    </w:div>
    <w:div w:id="406726937">
      <w:bodyDiv w:val="1"/>
      <w:marLeft w:val="0"/>
      <w:marRight w:val="0"/>
      <w:marTop w:val="0"/>
      <w:marBottom w:val="0"/>
      <w:divBdr>
        <w:top w:val="none" w:sz="0" w:space="0" w:color="auto"/>
        <w:left w:val="none" w:sz="0" w:space="0" w:color="auto"/>
        <w:bottom w:val="none" w:sz="0" w:space="0" w:color="auto"/>
        <w:right w:val="none" w:sz="0" w:space="0" w:color="auto"/>
      </w:divBdr>
    </w:div>
    <w:div w:id="438262349">
      <w:bodyDiv w:val="1"/>
      <w:marLeft w:val="0"/>
      <w:marRight w:val="0"/>
      <w:marTop w:val="0"/>
      <w:marBottom w:val="0"/>
      <w:divBdr>
        <w:top w:val="none" w:sz="0" w:space="0" w:color="auto"/>
        <w:left w:val="none" w:sz="0" w:space="0" w:color="auto"/>
        <w:bottom w:val="none" w:sz="0" w:space="0" w:color="auto"/>
        <w:right w:val="none" w:sz="0" w:space="0" w:color="auto"/>
      </w:divBdr>
    </w:div>
    <w:div w:id="640497897">
      <w:bodyDiv w:val="1"/>
      <w:marLeft w:val="0"/>
      <w:marRight w:val="0"/>
      <w:marTop w:val="0"/>
      <w:marBottom w:val="0"/>
      <w:divBdr>
        <w:top w:val="none" w:sz="0" w:space="0" w:color="auto"/>
        <w:left w:val="none" w:sz="0" w:space="0" w:color="auto"/>
        <w:bottom w:val="none" w:sz="0" w:space="0" w:color="auto"/>
        <w:right w:val="none" w:sz="0" w:space="0" w:color="auto"/>
      </w:divBdr>
    </w:div>
    <w:div w:id="647902444">
      <w:bodyDiv w:val="1"/>
      <w:marLeft w:val="0"/>
      <w:marRight w:val="0"/>
      <w:marTop w:val="0"/>
      <w:marBottom w:val="0"/>
      <w:divBdr>
        <w:top w:val="none" w:sz="0" w:space="0" w:color="auto"/>
        <w:left w:val="none" w:sz="0" w:space="0" w:color="auto"/>
        <w:bottom w:val="none" w:sz="0" w:space="0" w:color="auto"/>
        <w:right w:val="none" w:sz="0" w:space="0" w:color="auto"/>
      </w:divBdr>
    </w:div>
    <w:div w:id="728646761">
      <w:bodyDiv w:val="1"/>
      <w:marLeft w:val="0"/>
      <w:marRight w:val="0"/>
      <w:marTop w:val="0"/>
      <w:marBottom w:val="0"/>
      <w:divBdr>
        <w:top w:val="none" w:sz="0" w:space="0" w:color="auto"/>
        <w:left w:val="none" w:sz="0" w:space="0" w:color="auto"/>
        <w:bottom w:val="none" w:sz="0" w:space="0" w:color="auto"/>
        <w:right w:val="none" w:sz="0" w:space="0" w:color="auto"/>
      </w:divBdr>
    </w:div>
    <w:div w:id="877425726">
      <w:bodyDiv w:val="1"/>
      <w:marLeft w:val="0"/>
      <w:marRight w:val="0"/>
      <w:marTop w:val="0"/>
      <w:marBottom w:val="0"/>
      <w:divBdr>
        <w:top w:val="none" w:sz="0" w:space="0" w:color="auto"/>
        <w:left w:val="none" w:sz="0" w:space="0" w:color="auto"/>
        <w:bottom w:val="none" w:sz="0" w:space="0" w:color="auto"/>
        <w:right w:val="none" w:sz="0" w:space="0" w:color="auto"/>
      </w:divBdr>
    </w:div>
    <w:div w:id="993874281">
      <w:bodyDiv w:val="1"/>
      <w:marLeft w:val="0"/>
      <w:marRight w:val="0"/>
      <w:marTop w:val="0"/>
      <w:marBottom w:val="0"/>
      <w:divBdr>
        <w:top w:val="none" w:sz="0" w:space="0" w:color="auto"/>
        <w:left w:val="none" w:sz="0" w:space="0" w:color="auto"/>
        <w:bottom w:val="none" w:sz="0" w:space="0" w:color="auto"/>
        <w:right w:val="none" w:sz="0" w:space="0" w:color="auto"/>
      </w:divBdr>
      <w:divsChild>
        <w:div w:id="951088834">
          <w:marLeft w:val="547"/>
          <w:marRight w:val="0"/>
          <w:marTop w:val="86"/>
          <w:marBottom w:val="0"/>
          <w:divBdr>
            <w:top w:val="none" w:sz="0" w:space="0" w:color="auto"/>
            <w:left w:val="none" w:sz="0" w:space="0" w:color="auto"/>
            <w:bottom w:val="none" w:sz="0" w:space="0" w:color="auto"/>
            <w:right w:val="none" w:sz="0" w:space="0" w:color="auto"/>
          </w:divBdr>
        </w:div>
        <w:div w:id="1236210794">
          <w:marLeft w:val="547"/>
          <w:marRight w:val="0"/>
          <w:marTop w:val="86"/>
          <w:marBottom w:val="0"/>
          <w:divBdr>
            <w:top w:val="none" w:sz="0" w:space="0" w:color="auto"/>
            <w:left w:val="none" w:sz="0" w:space="0" w:color="auto"/>
            <w:bottom w:val="none" w:sz="0" w:space="0" w:color="auto"/>
            <w:right w:val="none" w:sz="0" w:space="0" w:color="auto"/>
          </w:divBdr>
        </w:div>
      </w:divsChild>
    </w:div>
    <w:div w:id="1075008266">
      <w:bodyDiv w:val="1"/>
      <w:marLeft w:val="0"/>
      <w:marRight w:val="0"/>
      <w:marTop w:val="0"/>
      <w:marBottom w:val="0"/>
      <w:divBdr>
        <w:top w:val="none" w:sz="0" w:space="0" w:color="auto"/>
        <w:left w:val="none" w:sz="0" w:space="0" w:color="auto"/>
        <w:bottom w:val="none" w:sz="0" w:space="0" w:color="auto"/>
        <w:right w:val="none" w:sz="0" w:space="0" w:color="auto"/>
      </w:divBdr>
    </w:div>
    <w:div w:id="1101561013">
      <w:bodyDiv w:val="1"/>
      <w:marLeft w:val="0"/>
      <w:marRight w:val="0"/>
      <w:marTop w:val="0"/>
      <w:marBottom w:val="0"/>
      <w:divBdr>
        <w:top w:val="none" w:sz="0" w:space="0" w:color="auto"/>
        <w:left w:val="none" w:sz="0" w:space="0" w:color="auto"/>
        <w:bottom w:val="none" w:sz="0" w:space="0" w:color="auto"/>
        <w:right w:val="none" w:sz="0" w:space="0" w:color="auto"/>
      </w:divBdr>
    </w:div>
    <w:div w:id="1152407629">
      <w:bodyDiv w:val="1"/>
      <w:marLeft w:val="0"/>
      <w:marRight w:val="0"/>
      <w:marTop w:val="0"/>
      <w:marBottom w:val="0"/>
      <w:divBdr>
        <w:top w:val="none" w:sz="0" w:space="0" w:color="auto"/>
        <w:left w:val="none" w:sz="0" w:space="0" w:color="auto"/>
        <w:bottom w:val="none" w:sz="0" w:space="0" w:color="auto"/>
        <w:right w:val="none" w:sz="0" w:space="0" w:color="auto"/>
      </w:divBdr>
    </w:div>
    <w:div w:id="1156846521">
      <w:bodyDiv w:val="1"/>
      <w:marLeft w:val="0"/>
      <w:marRight w:val="0"/>
      <w:marTop w:val="0"/>
      <w:marBottom w:val="0"/>
      <w:divBdr>
        <w:top w:val="none" w:sz="0" w:space="0" w:color="auto"/>
        <w:left w:val="none" w:sz="0" w:space="0" w:color="auto"/>
        <w:bottom w:val="none" w:sz="0" w:space="0" w:color="auto"/>
        <w:right w:val="none" w:sz="0" w:space="0" w:color="auto"/>
      </w:divBdr>
    </w:div>
    <w:div w:id="1236092152">
      <w:bodyDiv w:val="1"/>
      <w:marLeft w:val="0"/>
      <w:marRight w:val="0"/>
      <w:marTop w:val="0"/>
      <w:marBottom w:val="0"/>
      <w:divBdr>
        <w:top w:val="none" w:sz="0" w:space="0" w:color="auto"/>
        <w:left w:val="none" w:sz="0" w:space="0" w:color="auto"/>
        <w:bottom w:val="none" w:sz="0" w:space="0" w:color="auto"/>
        <w:right w:val="none" w:sz="0" w:space="0" w:color="auto"/>
      </w:divBdr>
    </w:div>
    <w:div w:id="1335647853">
      <w:bodyDiv w:val="1"/>
      <w:marLeft w:val="0"/>
      <w:marRight w:val="0"/>
      <w:marTop w:val="0"/>
      <w:marBottom w:val="0"/>
      <w:divBdr>
        <w:top w:val="none" w:sz="0" w:space="0" w:color="auto"/>
        <w:left w:val="none" w:sz="0" w:space="0" w:color="auto"/>
        <w:bottom w:val="none" w:sz="0" w:space="0" w:color="auto"/>
        <w:right w:val="none" w:sz="0" w:space="0" w:color="auto"/>
      </w:divBdr>
    </w:div>
    <w:div w:id="1385909093">
      <w:bodyDiv w:val="1"/>
      <w:marLeft w:val="0"/>
      <w:marRight w:val="0"/>
      <w:marTop w:val="0"/>
      <w:marBottom w:val="0"/>
      <w:divBdr>
        <w:top w:val="none" w:sz="0" w:space="0" w:color="auto"/>
        <w:left w:val="none" w:sz="0" w:space="0" w:color="auto"/>
        <w:bottom w:val="none" w:sz="0" w:space="0" w:color="auto"/>
        <w:right w:val="none" w:sz="0" w:space="0" w:color="auto"/>
      </w:divBdr>
    </w:div>
    <w:div w:id="1398552372">
      <w:bodyDiv w:val="1"/>
      <w:marLeft w:val="0"/>
      <w:marRight w:val="0"/>
      <w:marTop w:val="0"/>
      <w:marBottom w:val="0"/>
      <w:divBdr>
        <w:top w:val="none" w:sz="0" w:space="0" w:color="auto"/>
        <w:left w:val="none" w:sz="0" w:space="0" w:color="auto"/>
        <w:bottom w:val="none" w:sz="0" w:space="0" w:color="auto"/>
        <w:right w:val="none" w:sz="0" w:space="0" w:color="auto"/>
      </w:divBdr>
    </w:div>
    <w:div w:id="1406880772">
      <w:bodyDiv w:val="1"/>
      <w:marLeft w:val="0"/>
      <w:marRight w:val="0"/>
      <w:marTop w:val="0"/>
      <w:marBottom w:val="0"/>
      <w:divBdr>
        <w:top w:val="none" w:sz="0" w:space="0" w:color="auto"/>
        <w:left w:val="none" w:sz="0" w:space="0" w:color="auto"/>
        <w:bottom w:val="none" w:sz="0" w:space="0" w:color="auto"/>
        <w:right w:val="none" w:sz="0" w:space="0" w:color="auto"/>
      </w:divBdr>
    </w:div>
    <w:div w:id="1566332285">
      <w:bodyDiv w:val="1"/>
      <w:marLeft w:val="0"/>
      <w:marRight w:val="0"/>
      <w:marTop w:val="0"/>
      <w:marBottom w:val="0"/>
      <w:divBdr>
        <w:top w:val="none" w:sz="0" w:space="0" w:color="auto"/>
        <w:left w:val="none" w:sz="0" w:space="0" w:color="auto"/>
        <w:bottom w:val="none" w:sz="0" w:space="0" w:color="auto"/>
        <w:right w:val="none" w:sz="0" w:space="0" w:color="auto"/>
      </w:divBdr>
    </w:div>
    <w:div w:id="1714888678">
      <w:bodyDiv w:val="1"/>
      <w:marLeft w:val="0"/>
      <w:marRight w:val="0"/>
      <w:marTop w:val="0"/>
      <w:marBottom w:val="0"/>
      <w:divBdr>
        <w:top w:val="none" w:sz="0" w:space="0" w:color="auto"/>
        <w:left w:val="none" w:sz="0" w:space="0" w:color="auto"/>
        <w:bottom w:val="none" w:sz="0" w:space="0" w:color="auto"/>
        <w:right w:val="none" w:sz="0" w:space="0" w:color="auto"/>
      </w:divBdr>
    </w:div>
    <w:div w:id="1796941693">
      <w:bodyDiv w:val="1"/>
      <w:marLeft w:val="0"/>
      <w:marRight w:val="0"/>
      <w:marTop w:val="0"/>
      <w:marBottom w:val="0"/>
      <w:divBdr>
        <w:top w:val="none" w:sz="0" w:space="0" w:color="auto"/>
        <w:left w:val="none" w:sz="0" w:space="0" w:color="auto"/>
        <w:bottom w:val="none" w:sz="0" w:space="0" w:color="auto"/>
        <w:right w:val="none" w:sz="0" w:space="0" w:color="auto"/>
      </w:divBdr>
    </w:div>
    <w:div w:id="1801074467">
      <w:bodyDiv w:val="1"/>
      <w:marLeft w:val="0"/>
      <w:marRight w:val="0"/>
      <w:marTop w:val="0"/>
      <w:marBottom w:val="0"/>
      <w:divBdr>
        <w:top w:val="none" w:sz="0" w:space="0" w:color="auto"/>
        <w:left w:val="none" w:sz="0" w:space="0" w:color="auto"/>
        <w:bottom w:val="none" w:sz="0" w:space="0" w:color="auto"/>
        <w:right w:val="none" w:sz="0" w:space="0" w:color="auto"/>
      </w:divBdr>
    </w:div>
    <w:div w:id="1849909849">
      <w:bodyDiv w:val="1"/>
      <w:marLeft w:val="0"/>
      <w:marRight w:val="0"/>
      <w:marTop w:val="0"/>
      <w:marBottom w:val="0"/>
      <w:divBdr>
        <w:top w:val="none" w:sz="0" w:space="0" w:color="auto"/>
        <w:left w:val="none" w:sz="0" w:space="0" w:color="auto"/>
        <w:bottom w:val="none" w:sz="0" w:space="0" w:color="auto"/>
        <w:right w:val="none" w:sz="0" w:space="0" w:color="auto"/>
      </w:divBdr>
    </w:div>
    <w:div w:id="1888829848">
      <w:bodyDiv w:val="1"/>
      <w:marLeft w:val="0"/>
      <w:marRight w:val="0"/>
      <w:marTop w:val="0"/>
      <w:marBottom w:val="0"/>
      <w:divBdr>
        <w:top w:val="none" w:sz="0" w:space="0" w:color="auto"/>
        <w:left w:val="none" w:sz="0" w:space="0" w:color="auto"/>
        <w:bottom w:val="none" w:sz="0" w:space="0" w:color="auto"/>
        <w:right w:val="none" w:sz="0" w:space="0" w:color="auto"/>
      </w:divBdr>
    </w:div>
    <w:div w:id="1900090726">
      <w:bodyDiv w:val="1"/>
      <w:marLeft w:val="0"/>
      <w:marRight w:val="0"/>
      <w:marTop w:val="0"/>
      <w:marBottom w:val="0"/>
      <w:divBdr>
        <w:top w:val="none" w:sz="0" w:space="0" w:color="auto"/>
        <w:left w:val="none" w:sz="0" w:space="0" w:color="auto"/>
        <w:bottom w:val="none" w:sz="0" w:space="0" w:color="auto"/>
        <w:right w:val="none" w:sz="0" w:space="0" w:color="auto"/>
      </w:divBdr>
    </w:div>
    <w:div w:id="1988510468">
      <w:bodyDiv w:val="1"/>
      <w:marLeft w:val="0"/>
      <w:marRight w:val="0"/>
      <w:marTop w:val="0"/>
      <w:marBottom w:val="0"/>
      <w:divBdr>
        <w:top w:val="none" w:sz="0" w:space="0" w:color="auto"/>
        <w:left w:val="none" w:sz="0" w:space="0" w:color="auto"/>
        <w:bottom w:val="none" w:sz="0" w:space="0" w:color="auto"/>
        <w:right w:val="none" w:sz="0" w:space="0" w:color="auto"/>
      </w:divBdr>
    </w:div>
    <w:div w:id="20056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5EE26D1EBACC44B95F32A7D2CFD290"/>
        <w:category>
          <w:name w:val="General"/>
          <w:gallery w:val="placeholder"/>
        </w:category>
        <w:types>
          <w:type w:val="bbPlcHdr"/>
        </w:types>
        <w:behaviors>
          <w:behavior w:val="content"/>
        </w:behaviors>
        <w:guid w:val="{07527325-AD7F-794E-AA67-AE39074E2452}"/>
      </w:docPartPr>
      <w:docPartBody>
        <w:p w:rsidR="00B743E4" w:rsidRDefault="00045B5F" w:rsidP="00045B5F">
          <w:pPr>
            <w:pStyle w:val="CD5EE26D1EBACC44B95F32A7D2CFD290"/>
          </w:pPr>
          <w:r>
            <w:t>[Type text]</w:t>
          </w:r>
        </w:p>
      </w:docPartBody>
    </w:docPart>
    <w:docPart>
      <w:docPartPr>
        <w:name w:val="A38F1BD93F30A24B9099E78FBDD6E6E6"/>
        <w:category>
          <w:name w:val="General"/>
          <w:gallery w:val="placeholder"/>
        </w:category>
        <w:types>
          <w:type w:val="bbPlcHdr"/>
        </w:types>
        <w:behaviors>
          <w:behavior w:val="content"/>
        </w:behaviors>
        <w:guid w:val="{987EB92F-B1FD-A445-AD13-03ACBE100CD7}"/>
      </w:docPartPr>
      <w:docPartBody>
        <w:p w:rsidR="00B743E4" w:rsidRDefault="00045B5F" w:rsidP="00045B5F">
          <w:pPr>
            <w:pStyle w:val="A38F1BD93F30A24B9099E78FBDD6E6E6"/>
          </w:pPr>
          <w:r>
            <w:t>[Type text]</w:t>
          </w:r>
        </w:p>
      </w:docPartBody>
    </w:docPart>
    <w:docPart>
      <w:docPartPr>
        <w:name w:val="9ABCFA5F3895C240990767A0E816E62C"/>
        <w:category>
          <w:name w:val="General"/>
          <w:gallery w:val="placeholder"/>
        </w:category>
        <w:types>
          <w:type w:val="bbPlcHdr"/>
        </w:types>
        <w:behaviors>
          <w:behavior w:val="content"/>
        </w:behaviors>
        <w:guid w:val="{9E8B2BFD-D6A7-2443-8167-850215933E9B}"/>
      </w:docPartPr>
      <w:docPartBody>
        <w:p w:rsidR="00B743E4" w:rsidRDefault="00045B5F" w:rsidP="00045B5F">
          <w:pPr>
            <w:pStyle w:val="9ABCFA5F3895C240990767A0E816E6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5F"/>
    <w:rsid w:val="00003D36"/>
    <w:rsid w:val="000316D8"/>
    <w:rsid w:val="000429A0"/>
    <w:rsid w:val="00045666"/>
    <w:rsid w:val="00045B5F"/>
    <w:rsid w:val="00045B6B"/>
    <w:rsid w:val="000468DC"/>
    <w:rsid w:val="00071B61"/>
    <w:rsid w:val="00084BF6"/>
    <w:rsid w:val="00085A35"/>
    <w:rsid w:val="000863C1"/>
    <w:rsid w:val="000A1AC1"/>
    <w:rsid w:val="000A475E"/>
    <w:rsid w:val="000B04BF"/>
    <w:rsid w:val="000C0316"/>
    <w:rsid w:val="000C1156"/>
    <w:rsid w:val="000D6E3C"/>
    <w:rsid w:val="000E316B"/>
    <w:rsid w:val="000F3668"/>
    <w:rsid w:val="000F6A63"/>
    <w:rsid w:val="001016F0"/>
    <w:rsid w:val="001047D0"/>
    <w:rsid w:val="00123F47"/>
    <w:rsid w:val="00124FBA"/>
    <w:rsid w:val="00164018"/>
    <w:rsid w:val="0017732D"/>
    <w:rsid w:val="0018695F"/>
    <w:rsid w:val="00194088"/>
    <w:rsid w:val="001A7F33"/>
    <w:rsid w:val="001B0E5D"/>
    <w:rsid w:val="001E30F7"/>
    <w:rsid w:val="001E4540"/>
    <w:rsid w:val="00202543"/>
    <w:rsid w:val="00217621"/>
    <w:rsid w:val="00226CA8"/>
    <w:rsid w:val="00237D4E"/>
    <w:rsid w:val="00252848"/>
    <w:rsid w:val="00252C57"/>
    <w:rsid w:val="0025688D"/>
    <w:rsid w:val="0025768F"/>
    <w:rsid w:val="002A24FE"/>
    <w:rsid w:val="002A395F"/>
    <w:rsid w:val="002B0A5C"/>
    <w:rsid w:val="002B2EAF"/>
    <w:rsid w:val="002C2F7D"/>
    <w:rsid w:val="002D2EE7"/>
    <w:rsid w:val="002E51B1"/>
    <w:rsid w:val="002E6020"/>
    <w:rsid w:val="002F30EB"/>
    <w:rsid w:val="00302F87"/>
    <w:rsid w:val="00303C59"/>
    <w:rsid w:val="00306F08"/>
    <w:rsid w:val="0031053E"/>
    <w:rsid w:val="00310EF5"/>
    <w:rsid w:val="0031774A"/>
    <w:rsid w:val="00327075"/>
    <w:rsid w:val="00331088"/>
    <w:rsid w:val="00355F61"/>
    <w:rsid w:val="003600AE"/>
    <w:rsid w:val="0036502A"/>
    <w:rsid w:val="003861F7"/>
    <w:rsid w:val="003920FE"/>
    <w:rsid w:val="003D331E"/>
    <w:rsid w:val="003D7D1C"/>
    <w:rsid w:val="003F5C48"/>
    <w:rsid w:val="004016CC"/>
    <w:rsid w:val="00414B02"/>
    <w:rsid w:val="00415DA7"/>
    <w:rsid w:val="00445F04"/>
    <w:rsid w:val="00452368"/>
    <w:rsid w:val="0045730D"/>
    <w:rsid w:val="0046165E"/>
    <w:rsid w:val="00470823"/>
    <w:rsid w:val="00472DFA"/>
    <w:rsid w:val="00473F61"/>
    <w:rsid w:val="00480DDE"/>
    <w:rsid w:val="004869B8"/>
    <w:rsid w:val="00495C42"/>
    <w:rsid w:val="004B5410"/>
    <w:rsid w:val="004C2053"/>
    <w:rsid w:val="004C3857"/>
    <w:rsid w:val="004D020D"/>
    <w:rsid w:val="005044BE"/>
    <w:rsid w:val="005249CF"/>
    <w:rsid w:val="00526D6C"/>
    <w:rsid w:val="0053417B"/>
    <w:rsid w:val="005425E6"/>
    <w:rsid w:val="005442F7"/>
    <w:rsid w:val="005456B0"/>
    <w:rsid w:val="00553A48"/>
    <w:rsid w:val="00553A85"/>
    <w:rsid w:val="00556035"/>
    <w:rsid w:val="00561C2A"/>
    <w:rsid w:val="00564949"/>
    <w:rsid w:val="00592FFA"/>
    <w:rsid w:val="005A000D"/>
    <w:rsid w:val="005B22F8"/>
    <w:rsid w:val="005C1FDC"/>
    <w:rsid w:val="005C5E40"/>
    <w:rsid w:val="005D1AAE"/>
    <w:rsid w:val="005E165F"/>
    <w:rsid w:val="00606C16"/>
    <w:rsid w:val="00610BE4"/>
    <w:rsid w:val="0061587A"/>
    <w:rsid w:val="00616F56"/>
    <w:rsid w:val="006203FF"/>
    <w:rsid w:val="00624519"/>
    <w:rsid w:val="006304B7"/>
    <w:rsid w:val="0063291E"/>
    <w:rsid w:val="00635428"/>
    <w:rsid w:val="0064298A"/>
    <w:rsid w:val="00646B4F"/>
    <w:rsid w:val="00653326"/>
    <w:rsid w:val="00653D76"/>
    <w:rsid w:val="006568DD"/>
    <w:rsid w:val="00662A55"/>
    <w:rsid w:val="006717D4"/>
    <w:rsid w:val="0067188F"/>
    <w:rsid w:val="0068601A"/>
    <w:rsid w:val="006A5656"/>
    <w:rsid w:val="006B44D3"/>
    <w:rsid w:val="006C3B45"/>
    <w:rsid w:val="006C7C3D"/>
    <w:rsid w:val="006E0EF4"/>
    <w:rsid w:val="006E3970"/>
    <w:rsid w:val="00705C80"/>
    <w:rsid w:val="007158EB"/>
    <w:rsid w:val="00735662"/>
    <w:rsid w:val="00737570"/>
    <w:rsid w:val="00745279"/>
    <w:rsid w:val="00747CBC"/>
    <w:rsid w:val="00750C98"/>
    <w:rsid w:val="00763A30"/>
    <w:rsid w:val="00767962"/>
    <w:rsid w:val="00774289"/>
    <w:rsid w:val="00776FD7"/>
    <w:rsid w:val="007977A9"/>
    <w:rsid w:val="007A7CDC"/>
    <w:rsid w:val="007B0B3A"/>
    <w:rsid w:val="007B7ECD"/>
    <w:rsid w:val="007D2402"/>
    <w:rsid w:val="007D6EB7"/>
    <w:rsid w:val="007E0AB7"/>
    <w:rsid w:val="00817F04"/>
    <w:rsid w:val="00823449"/>
    <w:rsid w:val="00844D92"/>
    <w:rsid w:val="00847B06"/>
    <w:rsid w:val="00847FE7"/>
    <w:rsid w:val="00856264"/>
    <w:rsid w:val="008819E2"/>
    <w:rsid w:val="00883847"/>
    <w:rsid w:val="00884C78"/>
    <w:rsid w:val="00890D7E"/>
    <w:rsid w:val="008A66C8"/>
    <w:rsid w:val="008A66D5"/>
    <w:rsid w:val="008F58D3"/>
    <w:rsid w:val="009063C7"/>
    <w:rsid w:val="009178EF"/>
    <w:rsid w:val="00921C46"/>
    <w:rsid w:val="00932BDD"/>
    <w:rsid w:val="00937F2D"/>
    <w:rsid w:val="00942F47"/>
    <w:rsid w:val="00946BCD"/>
    <w:rsid w:val="00952827"/>
    <w:rsid w:val="00954F4D"/>
    <w:rsid w:val="00955569"/>
    <w:rsid w:val="00966960"/>
    <w:rsid w:val="00971C74"/>
    <w:rsid w:val="009805C7"/>
    <w:rsid w:val="009B07A2"/>
    <w:rsid w:val="009B345A"/>
    <w:rsid w:val="009C7D3F"/>
    <w:rsid w:val="009D1018"/>
    <w:rsid w:val="009D50A7"/>
    <w:rsid w:val="009F0910"/>
    <w:rsid w:val="00A07BDC"/>
    <w:rsid w:val="00A254D8"/>
    <w:rsid w:val="00A323BD"/>
    <w:rsid w:val="00A4254A"/>
    <w:rsid w:val="00A42792"/>
    <w:rsid w:val="00A43301"/>
    <w:rsid w:val="00A46257"/>
    <w:rsid w:val="00A50748"/>
    <w:rsid w:val="00A51D9D"/>
    <w:rsid w:val="00A65BD4"/>
    <w:rsid w:val="00A6603B"/>
    <w:rsid w:val="00A84C23"/>
    <w:rsid w:val="00A912CA"/>
    <w:rsid w:val="00A93EAD"/>
    <w:rsid w:val="00AA0E57"/>
    <w:rsid w:val="00AA5EDD"/>
    <w:rsid w:val="00AB0342"/>
    <w:rsid w:val="00AC1B72"/>
    <w:rsid w:val="00AC33C7"/>
    <w:rsid w:val="00AD0DD1"/>
    <w:rsid w:val="00AD18C4"/>
    <w:rsid w:val="00AF3FC6"/>
    <w:rsid w:val="00B214B0"/>
    <w:rsid w:val="00B22DD1"/>
    <w:rsid w:val="00B2784F"/>
    <w:rsid w:val="00B72F27"/>
    <w:rsid w:val="00B743E4"/>
    <w:rsid w:val="00BA1101"/>
    <w:rsid w:val="00BB5D77"/>
    <w:rsid w:val="00BC5AB0"/>
    <w:rsid w:val="00BC7801"/>
    <w:rsid w:val="00BC7FDE"/>
    <w:rsid w:val="00C0257B"/>
    <w:rsid w:val="00C13FEA"/>
    <w:rsid w:val="00C148E1"/>
    <w:rsid w:val="00C51697"/>
    <w:rsid w:val="00C617BB"/>
    <w:rsid w:val="00C62FC9"/>
    <w:rsid w:val="00C66B15"/>
    <w:rsid w:val="00C67578"/>
    <w:rsid w:val="00C728D4"/>
    <w:rsid w:val="00C84101"/>
    <w:rsid w:val="00CA2B96"/>
    <w:rsid w:val="00CC2522"/>
    <w:rsid w:val="00CF1C0B"/>
    <w:rsid w:val="00CF5142"/>
    <w:rsid w:val="00D02E03"/>
    <w:rsid w:val="00D0456A"/>
    <w:rsid w:val="00D04ACB"/>
    <w:rsid w:val="00D223C2"/>
    <w:rsid w:val="00D23E1E"/>
    <w:rsid w:val="00D242CF"/>
    <w:rsid w:val="00D26900"/>
    <w:rsid w:val="00D27238"/>
    <w:rsid w:val="00D36093"/>
    <w:rsid w:val="00D47579"/>
    <w:rsid w:val="00D5364D"/>
    <w:rsid w:val="00D67A1A"/>
    <w:rsid w:val="00D73937"/>
    <w:rsid w:val="00D80C01"/>
    <w:rsid w:val="00D9744A"/>
    <w:rsid w:val="00DB20F9"/>
    <w:rsid w:val="00DD3EFF"/>
    <w:rsid w:val="00DE3529"/>
    <w:rsid w:val="00DF014D"/>
    <w:rsid w:val="00DF2424"/>
    <w:rsid w:val="00E058FD"/>
    <w:rsid w:val="00E161D5"/>
    <w:rsid w:val="00E342A4"/>
    <w:rsid w:val="00E4494E"/>
    <w:rsid w:val="00E6006E"/>
    <w:rsid w:val="00EA2F21"/>
    <w:rsid w:val="00EB3882"/>
    <w:rsid w:val="00EB74E0"/>
    <w:rsid w:val="00EC30C0"/>
    <w:rsid w:val="00EE5585"/>
    <w:rsid w:val="00EE7D15"/>
    <w:rsid w:val="00EF3528"/>
    <w:rsid w:val="00EF6C45"/>
    <w:rsid w:val="00F0034A"/>
    <w:rsid w:val="00F167F0"/>
    <w:rsid w:val="00F20A33"/>
    <w:rsid w:val="00F42ECB"/>
    <w:rsid w:val="00F70130"/>
    <w:rsid w:val="00F87623"/>
    <w:rsid w:val="00F95009"/>
    <w:rsid w:val="00FC4A85"/>
    <w:rsid w:val="00FD6D5D"/>
    <w:rsid w:val="00FE036F"/>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6F14-0CE4-4EAE-A001-4BA683B9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 Andreoli Jr.</dc:creator>
  <cp:lastModifiedBy>Artur Hambardzumyan</cp:lastModifiedBy>
  <cp:revision>2</cp:revision>
  <cp:lastPrinted>2018-08-27T05:39:00Z</cp:lastPrinted>
  <dcterms:created xsi:type="dcterms:W3CDTF">2020-01-24T11:53:00Z</dcterms:created>
  <dcterms:modified xsi:type="dcterms:W3CDTF">2020-01-24T11:53:00Z</dcterms:modified>
</cp:coreProperties>
</file>